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D4117" w14:textId="63B8C24F" w:rsidR="00276E0B" w:rsidRPr="00275C1B" w:rsidRDefault="00276E0B" w:rsidP="00BC68AE">
      <w:pPr>
        <w:pStyle w:val="Prrafodelista"/>
        <w:numPr>
          <w:ilvl w:val="0"/>
          <w:numId w:val="4"/>
        </w:numPr>
        <w:spacing w:line="276" w:lineRule="auto"/>
        <w:rPr>
          <w:rFonts w:ascii="Times New Roman" w:hAnsi="Times New Roman" w:cs="Times New Roman"/>
          <w:b/>
          <w:bCs/>
          <w:sz w:val="24"/>
          <w:szCs w:val="24"/>
        </w:rPr>
      </w:pPr>
      <w:r w:rsidRPr="00275C1B">
        <w:rPr>
          <w:rFonts w:ascii="Times New Roman" w:hAnsi="Times New Roman" w:cs="Times New Roman"/>
          <w:b/>
          <w:bCs/>
          <w:sz w:val="24"/>
          <w:szCs w:val="24"/>
        </w:rPr>
        <w:t>Registros Horarios en Argentina.</w:t>
      </w:r>
    </w:p>
    <w:p w14:paraId="3997773E" w14:textId="0796B3E5" w:rsidR="00BC68AE" w:rsidRPr="00275C1B" w:rsidRDefault="00BC68AE" w:rsidP="00BC68AE">
      <w:pPr>
        <w:spacing w:line="276" w:lineRule="auto"/>
        <w:jc w:val="both"/>
        <w:rPr>
          <w:rFonts w:ascii="Times New Roman" w:hAnsi="Times New Roman" w:cs="Times New Roman"/>
          <w:sz w:val="24"/>
          <w:szCs w:val="24"/>
        </w:rPr>
      </w:pPr>
      <w:r w:rsidRPr="00275C1B">
        <w:rPr>
          <w:rFonts w:ascii="Times New Roman" w:hAnsi="Times New Roman" w:cs="Times New Roman"/>
          <w:sz w:val="24"/>
          <w:szCs w:val="24"/>
        </w:rPr>
        <w:t xml:space="preserve">La obligación de los empleadores de informar y llevar registro de la jornada de trabajo está prevista en el artículo 6 de la Ley </w:t>
      </w:r>
      <w:proofErr w:type="spellStart"/>
      <w:r w:rsidRPr="00275C1B">
        <w:rPr>
          <w:rFonts w:ascii="Times New Roman" w:hAnsi="Times New Roman" w:cs="Times New Roman"/>
          <w:sz w:val="24"/>
          <w:szCs w:val="24"/>
        </w:rPr>
        <w:t>N°</w:t>
      </w:r>
      <w:proofErr w:type="spellEnd"/>
      <w:r w:rsidRPr="00275C1B">
        <w:rPr>
          <w:rFonts w:ascii="Times New Roman" w:hAnsi="Times New Roman" w:cs="Times New Roman"/>
          <w:sz w:val="24"/>
          <w:szCs w:val="24"/>
        </w:rPr>
        <w:t xml:space="preserve"> 11.544. Los empleadores deben informar a través de avisos en lugares visibles del establecimiento o en cualquier otro lugar conveniente, las horas en que comienza y termina el trabajo por equipos.</w:t>
      </w:r>
    </w:p>
    <w:p w14:paraId="047B5A29" w14:textId="11A675C4" w:rsidR="00BC68AE" w:rsidRPr="00275C1B" w:rsidRDefault="00BC68AE" w:rsidP="00BC68AE">
      <w:pPr>
        <w:spacing w:line="276" w:lineRule="auto"/>
        <w:jc w:val="both"/>
        <w:rPr>
          <w:rFonts w:ascii="Times New Roman" w:hAnsi="Times New Roman" w:cs="Times New Roman"/>
          <w:sz w:val="24"/>
          <w:szCs w:val="24"/>
        </w:rPr>
      </w:pPr>
      <w:r w:rsidRPr="00275C1B">
        <w:rPr>
          <w:rFonts w:ascii="Times New Roman" w:hAnsi="Times New Roman" w:cs="Times New Roman"/>
          <w:sz w:val="24"/>
          <w:szCs w:val="24"/>
        </w:rPr>
        <w:t xml:space="preserve">Asimismo, el artículo 20 del Decreto Reglamentario </w:t>
      </w:r>
      <w:proofErr w:type="spellStart"/>
      <w:r w:rsidRPr="00275C1B">
        <w:rPr>
          <w:rFonts w:ascii="Times New Roman" w:hAnsi="Times New Roman" w:cs="Times New Roman"/>
          <w:sz w:val="24"/>
          <w:szCs w:val="24"/>
        </w:rPr>
        <w:t>N°</w:t>
      </w:r>
      <w:proofErr w:type="spellEnd"/>
      <w:r w:rsidRPr="00275C1B">
        <w:rPr>
          <w:rFonts w:ascii="Times New Roman" w:hAnsi="Times New Roman" w:cs="Times New Roman"/>
          <w:sz w:val="24"/>
          <w:szCs w:val="24"/>
        </w:rPr>
        <w:t xml:space="preserve"> 16.115/33 que reglamenta la Ley </w:t>
      </w:r>
      <w:proofErr w:type="spellStart"/>
      <w:r w:rsidRPr="00275C1B">
        <w:rPr>
          <w:rFonts w:ascii="Times New Roman" w:hAnsi="Times New Roman" w:cs="Times New Roman"/>
          <w:sz w:val="24"/>
          <w:szCs w:val="24"/>
        </w:rPr>
        <w:t>N°</w:t>
      </w:r>
      <w:proofErr w:type="spellEnd"/>
      <w:r w:rsidRPr="00275C1B">
        <w:rPr>
          <w:rFonts w:ascii="Times New Roman" w:hAnsi="Times New Roman" w:cs="Times New Roman"/>
          <w:sz w:val="24"/>
          <w:szCs w:val="24"/>
        </w:rPr>
        <w:t xml:space="preserve"> 11.544 establece la obligación de los empleadores de informar el inicio y el final de la jornada laboral de sus empleados en un lugar visible de las instalaciones de la empresa. También establece que los empleadores deberán entregar a cada uno de sus empleados una libreta en la que se contará con información individual de cada empleado para hacer la debida verificación de las horas de trabajo y la individualización de los empleados y trabajadores. En su último párrafo, se establece una multa por parte del empleador en caso de que los empleados o los trabajadores no dispongan de este cuaderno salvo que el empleador pueda acreditar que la no exhibición de este cuaderno es causada por culpa exclusiva del empleado y que trabaja en las horas establecidas en la hoja de cálculo de horas de trabajo.</w:t>
      </w:r>
    </w:p>
    <w:p w14:paraId="15D4DA59" w14:textId="77777777" w:rsidR="00BC68AE" w:rsidRPr="00275C1B" w:rsidRDefault="00BC68AE" w:rsidP="00BC68AE">
      <w:pPr>
        <w:spacing w:line="276" w:lineRule="auto"/>
        <w:jc w:val="both"/>
        <w:rPr>
          <w:rFonts w:ascii="Times New Roman" w:hAnsi="Times New Roman" w:cs="Times New Roman"/>
          <w:sz w:val="24"/>
          <w:szCs w:val="24"/>
        </w:rPr>
      </w:pPr>
      <w:r w:rsidRPr="00275C1B">
        <w:rPr>
          <w:rFonts w:ascii="Times New Roman" w:hAnsi="Times New Roman" w:cs="Times New Roman"/>
          <w:sz w:val="24"/>
          <w:szCs w:val="24"/>
        </w:rPr>
        <w:t xml:space="preserve">Adicionalmente, el Ministerio de Trabajo de la Provincia de Buenos Aires establece, mediante Resolución </w:t>
      </w:r>
      <w:proofErr w:type="spellStart"/>
      <w:r w:rsidRPr="00275C1B">
        <w:rPr>
          <w:rFonts w:ascii="Times New Roman" w:hAnsi="Times New Roman" w:cs="Times New Roman"/>
          <w:sz w:val="24"/>
          <w:szCs w:val="24"/>
        </w:rPr>
        <w:t>N°</w:t>
      </w:r>
      <w:proofErr w:type="spellEnd"/>
      <w:r w:rsidRPr="00275C1B">
        <w:rPr>
          <w:rFonts w:ascii="Times New Roman" w:hAnsi="Times New Roman" w:cs="Times New Roman"/>
          <w:sz w:val="24"/>
          <w:szCs w:val="24"/>
        </w:rPr>
        <w:t xml:space="preserve"> 261/2010, que las hojas de cálculo de jornada de trabajo deben ser inicializadas (rubricadas). El artículo 13 de esta Resolución establece los requisitos para inicializar las hojas de trabajo señaladas en el artículo 6 de la Ley </w:t>
      </w:r>
      <w:proofErr w:type="spellStart"/>
      <w:r w:rsidRPr="00275C1B">
        <w:rPr>
          <w:rFonts w:ascii="Times New Roman" w:hAnsi="Times New Roman" w:cs="Times New Roman"/>
          <w:sz w:val="24"/>
          <w:szCs w:val="24"/>
        </w:rPr>
        <w:t>N°</w:t>
      </w:r>
      <w:proofErr w:type="spellEnd"/>
      <w:r w:rsidRPr="00275C1B">
        <w:rPr>
          <w:rFonts w:ascii="Times New Roman" w:hAnsi="Times New Roman" w:cs="Times New Roman"/>
          <w:sz w:val="24"/>
          <w:szCs w:val="24"/>
        </w:rPr>
        <w:t xml:space="preserve"> 11.544, que son los siguientes:</w:t>
      </w:r>
    </w:p>
    <w:p w14:paraId="290C5F69" w14:textId="5AB51A42" w:rsidR="00D75CC8" w:rsidRPr="00D75CC8" w:rsidRDefault="00BC68AE" w:rsidP="00D75CC8">
      <w:pPr>
        <w:pStyle w:val="Prrafodelista"/>
        <w:numPr>
          <w:ilvl w:val="0"/>
          <w:numId w:val="7"/>
        </w:numPr>
        <w:spacing w:line="276" w:lineRule="auto"/>
        <w:jc w:val="both"/>
        <w:rPr>
          <w:rFonts w:ascii="Times New Roman" w:hAnsi="Times New Roman" w:cs="Times New Roman"/>
          <w:sz w:val="24"/>
          <w:szCs w:val="24"/>
        </w:rPr>
      </w:pPr>
      <w:r w:rsidRPr="00D75CC8">
        <w:rPr>
          <w:rFonts w:ascii="Times New Roman" w:hAnsi="Times New Roman" w:cs="Times New Roman"/>
          <w:sz w:val="24"/>
          <w:szCs w:val="24"/>
        </w:rPr>
        <w:t>Una nota solicitando la inicialización de la hoja de cálculo de horas de trabajo informando a la persona que está autorizada para realizar este trámite. La nota debe estar firmada por el mandante o por un representante legal certificado por notario público, juez de distrito, Registro Público de Comercio o por el Ministerio de Trabajo. En caso de que el pagaré esté firmado por un representante legal, se deberá adjuntar copia del poder;</w:t>
      </w:r>
    </w:p>
    <w:p w14:paraId="5AD97388" w14:textId="77777777" w:rsidR="00D75CC8" w:rsidRDefault="00BC68AE" w:rsidP="00D75CC8">
      <w:pPr>
        <w:pStyle w:val="Prrafodelista"/>
        <w:numPr>
          <w:ilvl w:val="0"/>
          <w:numId w:val="7"/>
        </w:numPr>
        <w:spacing w:line="276" w:lineRule="auto"/>
        <w:jc w:val="both"/>
        <w:rPr>
          <w:rFonts w:ascii="Times New Roman" w:hAnsi="Times New Roman" w:cs="Times New Roman"/>
          <w:sz w:val="24"/>
          <w:szCs w:val="24"/>
        </w:rPr>
      </w:pPr>
      <w:r w:rsidRPr="00D75CC8">
        <w:rPr>
          <w:rFonts w:ascii="Times New Roman" w:hAnsi="Times New Roman" w:cs="Times New Roman"/>
          <w:sz w:val="24"/>
          <w:szCs w:val="24"/>
        </w:rPr>
        <w:t>Una lista del personal informando: a) nombre y apellidos completos, b) tipo y número de cédula, c) CUIL, d) fecha de inicio; e) Horas de trabajo.</w:t>
      </w:r>
    </w:p>
    <w:p w14:paraId="1B37FBC7" w14:textId="05103BF9" w:rsidR="00BC68AE" w:rsidRPr="00D75CC8" w:rsidRDefault="00BC68AE" w:rsidP="00D75CC8">
      <w:pPr>
        <w:pStyle w:val="Prrafodelista"/>
        <w:numPr>
          <w:ilvl w:val="0"/>
          <w:numId w:val="7"/>
        </w:numPr>
        <w:spacing w:line="276" w:lineRule="auto"/>
        <w:jc w:val="both"/>
        <w:rPr>
          <w:rFonts w:ascii="Times New Roman" w:hAnsi="Times New Roman" w:cs="Times New Roman"/>
          <w:sz w:val="24"/>
          <w:szCs w:val="24"/>
        </w:rPr>
      </w:pPr>
      <w:r w:rsidRPr="00D75CC8">
        <w:rPr>
          <w:rFonts w:ascii="Times New Roman" w:hAnsi="Times New Roman" w:cs="Times New Roman"/>
          <w:sz w:val="24"/>
          <w:szCs w:val="24"/>
        </w:rPr>
        <w:t>Evidencia del pago de la tarifa con respecto a la inicialización de las hojas de cálculo de horas de trabajo.</w:t>
      </w:r>
    </w:p>
    <w:p w14:paraId="59BD3C1B" w14:textId="77777777" w:rsidR="00275C1B" w:rsidRDefault="00275C1B" w:rsidP="00275C1B">
      <w:pPr>
        <w:spacing w:line="276" w:lineRule="auto"/>
        <w:jc w:val="both"/>
        <w:rPr>
          <w:rFonts w:ascii="Times New Roman" w:hAnsi="Times New Roman" w:cs="Times New Roman"/>
          <w:sz w:val="24"/>
          <w:szCs w:val="24"/>
        </w:rPr>
      </w:pPr>
    </w:p>
    <w:p w14:paraId="64F85301" w14:textId="3BD89B4D" w:rsidR="00275C1B" w:rsidRPr="00D75CC8" w:rsidRDefault="00275C1B" w:rsidP="00275C1B">
      <w:pPr>
        <w:spacing w:line="276" w:lineRule="auto"/>
        <w:jc w:val="both"/>
        <w:rPr>
          <w:rFonts w:ascii="Times New Roman" w:hAnsi="Times New Roman" w:cs="Times New Roman"/>
          <w:sz w:val="24"/>
          <w:szCs w:val="24"/>
          <w:u w:val="single"/>
        </w:rPr>
      </w:pPr>
      <w:r w:rsidRPr="00D75CC8">
        <w:rPr>
          <w:rFonts w:ascii="Times New Roman" w:hAnsi="Times New Roman" w:cs="Times New Roman"/>
          <w:sz w:val="24"/>
          <w:szCs w:val="24"/>
          <w:u w:val="single"/>
        </w:rPr>
        <w:t>Jurisprudencia relevante:</w:t>
      </w:r>
    </w:p>
    <w:p w14:paraId="2531A858" w14:textId="77777777" w:rsidR="00275C1B" w:rsidRPr="00275C1B" w:rsidRDefault="00275C1B" w:rsidP="00275C1B">
      <w:pPr>
        <w:spacing w:line="276" w:lineRule="auto"/>
        <w:jc w:val="both"/>
        <w:rPr>
          <w:rFonts w:ascii="Times New Roman" w:hAnsi="Times New Roman" w:cs="Times New Roman"/>
          <w:i/>
          <w:iCs/>
          <w:sz w:val="24"/>
          <w:szCs w:val="24"/>
        </w:rPr>
      </w:pPr>
      <w:r w:rsidRPr="00275C1B">
        <w:rPr>
          <w:rFonts w:ascii="Times New Roman" w:hAnsi="Times New Roman" w:cs="Times New Roman"/>
          <w:sz w:val="24"/>
          <w:szCs w:val="24"/>
        </w:rPr>
        <w:t>Dra. Diana R. Cañal dijo: “</w:t>
      </w:r>
      <w:r w:rsidRPr="00275C1B">
        <w:rPr>
          <w:rFonts w:ascii="Times New Roman" w:hAnsi="Times New Roman" w:cs="Times New Roman"/>
          <w:i/>
          <w:iCs/>
          <w:sz w:val="24"/>
          <w:szCs w:val="24"/>
        </w:rPr>
        <w:t xml:space="preserve">En efecto, debemos partir de la base de que existía una presunción a favor del horario invocado por el trabajador, dado que </w:t>
      </w:r>
      <w:proofErr w:type="spellStart"/>
      <w:r w:rsidRPr="00275C1B">
        <w:rPr>
          <w:rFonts w:ascii="Times New Roman" w:hAnsi="Times New Roman" w:cs="Times New Roman"/>
          <w:i/>
          <w:iCs/>
          <w:sz w:val="24"/>
          <w:szCs w:val="24"/>
        </w:rPr>
        <w:t>CyE</w:t>
      </w:r>
      <w:proofErr w:type="spellEnd"/>
      <w:r w:rsidRPr="00275C1B">
        <w:rPr>
          <w:rFonts w:ascii="Times New Roman" w:hAnsi="Times New Roman" w:cs="Times New Roman"/>
          <w:i/>
          <w:iCs/>
          <w:sz w:val="24"/>
          <w:szCs w:val="24"/>
        </w:rPr>
        <w:t xml:space="preserve"> CONSTRUCCIONES S.A., nunca puso a disposición del perito contador los libros laborales, ni las planillas de registro horario (ver puntos de prueba de la parte actora a fs.13vta.). Aquí me detengo, para recordar que el art. 6 inc. c. de la ley 11.544 y el art. 8 1 del convenio 1 de la OTI, ratificado por la Argentina, imponen al empleador el deber de inscribir en un registro todas las horas suplementarias de trabajo hechas </w:t>
      </w:r>
      <w:r w:rsidRPr="00275C1B">
        <w:rPr>
          <w:rFonts w:ascii="Times New Roman" w:hAnsi="Times New Roman" w:cs="Times New Roman"/>
          <w:i/>
          <w:iCs/>
          <w:sz w:val="24"/>
          <w:szCs w:val="24"/>
        </w:rPr>
        <w:lastRenderedPageBreak/>
        <w:t xml:space="preserve">efectivamente. Sumado a ello, el art. 4° de la ley 25.212 enumera entre los tipos de infracciones leves. “f) La falta o insuficiencia de los instrumentos individuales de contralor de la jornada de trabajo. La norma comprende los instrumentos de contralor previstos en los convenios colectivos de trabajo, el registro de horas suplementarias del art. 6° inc. c) de la ley 11.544, pero no los anuncios previstos por el art. 197 de la LCT y el art. 6° incisos a) y b) de la ley 11.544 tipificados por el art. 2° inciso b) del Régimen General de Sanciones como infracciones "leves".” </w:t>
      </w:r>
    </w:p>
    <w:p w14:paraId="7D140C8F" w14:textId="77777777" w:rsidR="00275C1B" w:rsidRPr="00275C1B" w:rsidRDefault="00275C1B" w:rsidP="00275C1B">
      <w:pPr>
        <w:spacing w:line="276" w:lineRule="auto"/>
        <w:jc w:val="both"/>
        <w:rPr>
          <w:rFonts w:ascii="Times New Roman" w:hAnsi="Times New Roman" w:cs="Times New Roman"/>
          <w:sz w:val="24"/>
          <w:szCs w:val="24"/>
        </w:rPr>
      </w:pPr>
      <w:r w:rsidRPr="00275C1B">
        <w:rPr>
          <w:rFonts w:ascii="Times New Roman" w:hAnsi="Times New Roman" w:cs="Times New Roman"/>
          <w:i/>
          <w:iCs/>
          <w:sz w:val="24"/>
          <w:szCs w:val="24"/>
        </w:rPr>
        <w:t xml:space="preserve">“Así, teniendo en cuenta lo expuesto, y lo dispuesto en el art. 52 inciso g de la LCT, concluyo que los empleadores tienen la obligación de llevar a diario un registro del horario de ingreso y egreso de sus dependientes, dado que, en virtud de su poder de dirección y organización, se encuentran en mejores condiciones de demostrar estos aspectos del contrato de trabajo. Asimismo, </w:t>
      </w:r>
      <w:proofErr w:type="spellStart"/>
      <w:r w:rsidRPr="00275C1B">
        <w:rPr>
          <w:rFonts w:ascii="Times New Roman" w:hAnsi="Times New Roman" w:cs="Times New Roman"/>
          <w:i/>
          <w:iCs/>
          <w:sz w:val="24"/>
          <w:szCs w:val="24"/>
        </w:rPr>
        <w:t>destaco</w:t>
      </w:r>
      <w:proofErr w:type="spellEnd"/>
      <w:r w:rsidRPr="00275C1B">
        <w:rPr>
          <w:rFonts w:ascii="Times New Roman" w:hAnsi="Times New Roman" w:cs="Times New Roman"/>
          <w:i/>
          <w:iCs/>
          <w:sz w:val="24"/>
          <w:szCs w:val="24"/>
        </w:rPr>
        <w:t xml:space="preserve"> que la reforma del art. 54 de la L.C.T., viene a refrendar esta lógica. Así, la ley 27.321, estableció que el art. 54, queda redactado de la siguiente forma: “Aplicación de los registros, planillas u otros elementos de contralor. Idéntico requisito de validez deberán reunir los registros, planillas u otros elementos de contralor exigidos por las leyes y sus normas reglamentarias, por los estatutos profesionales o convenciones colectivas de trabajo, que serán apreciadas judicialmente según lo prescrito en el artículo anterior</w:t>
      </w:r>
      <w:r w:rsidRPr="00275C1B">
        <w:rPr>
          <w:rFonts w:ascii="Times New Roman" w:hAnsi="Times New Roman" w:cs="Times New Roman"/>
          <w:sz w:val="24"/>
          <w:szCs w:val="24"/>
        </w:rPr>
        <w:t xml:space="preserve">.” </w:t>
      </w:r>
    </w:p>
    <w:p w14:paraId="0532CCEE" w14:textId="77777777" w:rsidR="00275C1B" w:rsidRPr="00275C1B" w:rsidRDefault="00275C1B" w:rsidP="00275C1B">
      <w:pPr>
        <w:spacing w:line="276" w:lineRule="auto"/>
        <w:jc w:val="both"/>
        <w:rPr>
          <w:rFonts w:ascii="Times New Roman" w:hAnsi="Times New Roman" w:cs="Times New Roman"/>
          <w:b/>
          <w:bCs/>
          <w:sz w:val="24"/>
          <w:szCs w:val="24"/>
        </w:rPr>
      </w:pPr>
      <w:r w:rsidRPr="00275C1B">
        <w:rPr>
          <w:rFonts w:ascii="Times New Roman" w:hAnsi="Times New Roman" w:cs="Times New Roman"/>
          <w:b/>
          <w:bCs/>
          <w:sz w:val="24"/>
          <w:szCs w:val="24"/>
        </w:rPr>
        <w:t>CÁMARA NACIONAL DE APELACIONES DEL TRABAJO - SALA III: "</w:t>
      </w:r>
      <w:proofErr w:type="gramStart"/>
      <w:r w:rsidRPr="00275C1B">
        <w:rPr>
          <w:rFonts w:ascii="Times New Roman" w:hAnsi="Times New Roman" w:cs="Times New Roman"/>
          <w:b/>
          <w:bCs/>
          <w:sz w:val="24"/>
          <w:szCs w:val="24"/>
        </w:rPr>
        <w:t>LUGO,  JAVIER</w:t>
      </w:r>
      <w:proofErr w:type="gramEnd"/>
      <w:r w:rsidRPr="00275C1B">
        <w:rPr>
          <w:rFonts w:ascii="Times New Roman" w:hAnsi="Times New Roman" w:cs="Times New Roman"/>
          <w:b/>
          <w:bCs/>
          <w:sz w:val="24"/>
          <w:szCs w:val="24"/>
        </w:rPr>
        <w:t xml:space="preserve"> FELICIANO c/ C Y E CONTRUCCIONES S.A. s/DESPIDO", causa CNT 032172/2014/CA001, 07/11/2021</w:t>
      </w:r>
    </w:p>
    <w:p w14:paraId="08EC670F" w14:textId="77777777" w:rsidR="00275C1B" w:rsidRPr="00275C1B" w:rsidRDefault="00275C1B" w:rsidP="00275C1B">
      <w:pPr>
        <w:spacing w:line="276" w:lineRule="auto"/>
        <w:jc w:val="both"/>
        <w:rPr>
          <w:rFonts w:ascii="Times New Roman" w:hAnsi="Times New Roman" w:cs="Times New Roman"/>
          <w:sz w:val="24"/>
          <w:szCs w:val="24"/>
        </w:rPr>
      </w:pPr>
    </w:p>
    <w:p w14:paraId="05369B3C" w14:textId="77777777" w:rsidR="00275C1B" w:rsidRPr="00275C1B" w:rsidRDefault="00275C1B" w:rsidP="00275C1B">
      <w:pPr>
        <w:spacing w:line="276" w:lineRule="auto"/>
        <w:jc w:val="both"/>
        <w:rPr>
          <w:rFonts w:ascii="Times New Roman" w:hAnsi="Times New Roman" w:cs="Times New Roman"/>
          <w:sz w:val="24"/>
          <w:szCs w:val="24"/>
        </w:rPr>
      </w:pPr>
      <w:r w:rsidRPr="00275C1B">
        <w:rPr>
          <w:rFonts w:ascii="Times New Roman" w:hAnsi="Times New Roman" w:cs="Times New Roman"/>
          <w:sz w:val="24"/>
          <w:szCs w:val="24"/>
        </w:rPr>
        <w:t>Dr. Héctor C. Guisado dijo: “</w:t>
      </w:r>
      <w:r w:rsidRPr="00275C1B">
        <w:rPr>
          <w:rFonts w:ascii="Times New Roman" w:hAnsi="Times New Roman" w:cs="Times New Roman"/>
          <w:i/>
          <w:iCs/>
          <w:sz w:val="24"/>
          <w:szCs w:val="24"/>
        </w:rPr>
        <w:t xml:space="preserve">Anticipo que, a mi juicio, no le asiste razón al recurrente. En primer lugar cabe señalar que el cumplimiento de horas extraordinarias no forma parte del conjunto de hechos susceptibles de probarse mediante la presunción dispuesta por el art 55 LCT, puesto que en el libro especial previsto por el art. 52 de la norma citada no se asienta el horario y por definición, tampoco podrían las horas extraordinarias integrar dicho registro con carácter permanente (CNAT, Sala III, 5/12/05, S.D. 87.359, “Amigo Valdes Agatha c/ Noveno Arte SA. y </w:t>
      </w:r>
      <w:proofErr w:type="spellStart"/>
      <w:r w:rsidRPr="00275C1B">
        <w:rPr>
          <w:rFonts w:ascii="Times New Roman" w:hAnsi="Times New Roman" w:cs="Times New Roman"/>
          <w:i/>
          <w:iCs/>
          <w:sz w:val="24"/>
          <w:szCs w:val="24"/>
        </w:rPr>
        <w:t>otro s</w:t>
      </w:r>
      <w:proofErr w:type="spellEnd"/>
      <w:r w:rsidRPr="00275C1B">
        <w:rPr>
          <w:rFonts w:ascii="Times New Roman" w:hAnsi="Times New Roman" w:cs="Times New Roman"/>
          <w:i/>
          <w:iCs/>
          <w:sz w:val="24"/>
          <w:szCs w:val="24"/>
        </w:rPr>
        <w:t xml:space="preserve">/ despido"; íd., Sala I, 9/03/04, S.D. 81.473 “Blanco Carlos y otros c/ Supermercados Norte SA. s/ despido"; esta Sala, 30/9/10, S.D. 94.327, “Capurro, Alejandro Daniel c/ Vinculación S.A. s/ despido”). Y la circunstancia de que la demandada no cuente con un sistema de registro de ingreso y egreso del personal no autoriza a deducir ninguna presunción en su contra, pues el empleador no está obligado a utilizar fichas reloj u otros medios de control del ingreso y egreso de los trabajadores del establecimiento (esta Sala, 9/2/06, S.D. 91.117, “Pereira, Juan Alberto c/ Carrefour Argentina S.A. s/ despido”; íd., 30/9/10, S.D. 94.327, “Capurro, Alejandro Daniel c/ Vinculación S.A. s/ despido”; íd., 29/8/11, S.D. 95.686, “Vaz, Leonardo Gabriel c/ </w:t>
      </w:r>
      <w:proofErr w:type="spellStart"/>
      <w:r w:rsidRPr="00275C1B">
        <w:rPr>
          <w:rFonts w:ascii="Times New Roman" w:hAnsi="Times New Roman" w:cs="Times New Roman"/>
          <w:i/>
          <w:iCs/>
          <w:sz w:val="24"/>
          <w:szCs w:val="24"/>
        </w:rPr>
        <w:t>Clean</w:t>
      </w:r>
      <w:proofErr w:type="spellEnd"/>
      <w:r w:rsidRPr="00275C1B">
        <w:rPr>
          <w:rFonts w:ascii="Times New Roman" w:hAnsi="Times New Roman" w:cs="Times New Roman"/>
          <w:i/>
          <w:iCs/>
          <w:sz w:val="24"/>
          <w:szCs w:val="24"/>
        </w:rPr>
        <w:t xml:space="preserve"> Baires SA s/ diferencias de salarios”; CNAT, Sala VIII, 29/8/03, “</w:t>
      </w:r>
      <w:proofErr w:type="spellStart"/>
      <w:r w:rsidRPr="00275C1B">
        <w:rPr>
          <w:rFonts w:ascii="Times New Roman" w:hAnsi="Times New Roman" w:cs="Times New Roman"/>
          <w:i/>
          <w:iCs/>
          <w:sz w:val="24"/>
          <w:szCs w:val="24"/>
        </w:rPr>
        <w:t>Piceda</w:t>
      </w:r>
      <w:proofErr w:type="spellEnd"/>
      <w:r w:rsidRPr="00275C1B">
        <w:rPr>
          <w:rFonts w:ascii="Times New Roman" w:hAnsi="Times New Roman" w:cs="Times New Roman"/>
          <w:i/>
          <w:iCs/>
          <w:sz w:val="24"/>
          <w:szCs w:val="24"/>
        </w:rPr>
        <w:t xml:space="preserve">, Jorge c/ Coca Cola </w:t>
      </w:r>
      <w:proofErr w:type="spellStart"/>
      <w:r w:rsidRPr="00275C1B">
        <w:rPr>
          <w:rFonts w:ascii="Times New Roman" w:hAnsi="Times New Roman" w:cs="Times New Roman"/>
          <w:i/>
          <w:iCs/>
          <w:sz w:val="24"/>
          <w:szCs w:val="24"/>
        </w:rPr>
        <w:t>Femsa</w:t>
      </w:r>
      <w:proofErr w:type="spellEnd"/>
      <w:r w:rsidRPr="00275C1B">
        <w:rPr>
          <w:rFonts w:ascii="Times New Roman" w:hAnsi="Times New Roman" w:cs="Times New Roman"/>
          <w:i/>
          <w:iCs/>
          <w:sz w:val="24"/>
          <w:szCs w:val="24"/>
        </w:rPr>
        <w:t xml:space="preserve"> de Buenos Aires s/ despido”; íd., Sala III, 17/10/05, S.D. 87.206, “</w:t>
      </w:r>
      <w:proofErr w:type="spellStart"/>
      <w:r w:rsidRPr="00275C1B">
        <w:rPr>
          <w:rFonts w:ascii="Times New Roman" w:hAnsi="Times New Roman" w:cs="Times New Roman"/>
          <w:i/>
          <w:iCs/>
          <w:sz w:val="24"/>
          <w:szCs w:val="24"/>
        </w:rPr>
        <w:t>Nozzi</w:t>
      </w:r>
      <w:proofErr w:type="spellEnd"/>
      <w:r w:rsidRPr="00275C1B">
        <w:rPr>
          <w:rFonts w:ascii="Times New Roman" w:hAnsi="Times New Roman" w:cs="Times New Roman"/>
          <w:i/>
          <w:iCs/>
          <w:sz w:val="24"/>
          <w:szCs w:val="24"/>
        </w:rPr>
        <w:t xml:space="preserve">, Claudia Andrea c/ Laboratorios Arrayanes S.A. y </w:t>
      </w:r>
      <w:proofErr w:type="spellStart"/>
      <w:r w:rsidRPr="00275C1B">
        <w:rPr>
          <w:rFonts w:ascii="Times New Roman" w:hAnsi="Times New Roman" w:cs="Times New Roman"/>
          <w:i/>
          <w:iCs/>
          <w:sz w:val="24"/>
          <w:szCs w:val="24"/>
        </w:rPr>
        <w:t>otro s</w:t>
      </w:r>
      <w:proofErr w:type="spellEnd"/>
      <w:r w:rsidRPr="00275C1B">
        <w:rPr>
          <w:rFonts w:ascii="Times New Roman" w:hAnsi="Times New Roman" w:cs="Times New Roman"/>
          <w:i/>
          <w:iCs/>
          <w:sz w:val="24"/>
          <w:szCs w:val="24"/>
        </w:rPr>
        <w:t>/ despido</w:t>
      </w:r>
      <w:r w:rsidRPr="00275C1B">
        <w:rPr>
          <w:rFonts w:ascii="Times New Roman" w:hAnsi="Times New Roman" w:cs="Times New Roman"/>
          <w:sz w:val="24"/>
          <w:szCs w:val="24"/>
        </w:rPr>
        <w:t xml:space="preserve">”).” </w:t>
      </w:r>
    </w:p>
    <w:p w14:paraId="1AEE0778" w14:textId="77777777" w:rsidR="00275C1B" w:rsidRPr="00275C1B" w:rsidRDefault="00275C1B" w:rsidP="00275C1B">
      <w:pPr>
        <w:spacing w:line="276" w:lineRule="auto"/>
        <w:jc w:val="both"/>
        <w:rPr>
          <w:rFonts w:ascii="Times New Roman" w:hAnsi="Times New Roman" w:cs="Times New Roman"/>
          <w:b/>
          <w:bCs/>
          <w:sz w:val="24"/>
          <w:szCs w:val="24"/>
        </w:rPr>
      </w:pPr>
      <w:r w:rsidRPr="00275C1B">
        <w:rPr>
          <w:rFonts w:ascii="Times New Roman" w:hAnsi="Times New Roman" w:cs="Times New Roman"/>
          <w:b/>
          <w:bCs/>
          <w:sz w:val="24"/>
          <w:szCs w:val="24"/>
        </w:rPr>
        <w:lastRenderedPageBreak/>
        <w:t>CÁMARA NACIONAL DE APELACIONES DEL TRABAJO - SALA IV: "LENTO, GUSTAVO ADOLFO c/ LEURU S.A. s/DESPIDO", causa CNT 041164/2017/CA001, 07/10/2020</w:t>
      </w:r>
    </w:p>
    <w:p w14:paraId="34CB32BD" w14:textId="77777777" w:rsidR="00BC68AE" w:rsidRPr="00275C1B" w:rsidRDefault="00BC68AE" w:rsidP="00BC68AE">
      <w:pPr>
        <w:spacing w:line="276" w:lineRule="auto"/>
        <w:ind w:firstLine="708"/>
        <w:jc w:val="both"/>
        <w:rPr>
          <w:rFonts w:ascii="Times New Roman" w:hAnsi="Times New Roman" w:cs="Times New Roman"/>
          <w:sz w:val="24"/>
          <w:szCs w:val="24"/>
        </w:rPr>
      </w:pPr>
    </w:p>
    <w:p w14:paraId="7C9C83A8" w14:textId="585E6460" w:rsidR="00276E0B" w:rsidRPr="00275C1B" w:rsidRDefault="00276E0B" w:rsidP="00BC68AE">
      <w:pPr>
        <w:pStyle w:val="Prrafodelista"/>
        <w:numPr>
          <w:ilvl w:val="0"/>
          <w:numId w:val="3"/>
        </w:numPr>
        <w:spacing w:line="276" w:lineRule="auto"/>
        <w:rPr>
          <w:rFonts w:ascii="Times New Roman" w:hAnsi="Times New Roman" w:cs="Times New Roman"/>
          <w:b/>
          <w:bCs/>
          <w:sz w:val="24"/>
          <w:szCs w:val="24"/>
        </w:rPr>
      </w:pPr>
      <w:r w:rsidRPr="00275C1B">
        <w:rPr>
          <w:rFonts w:ascii="Times New Roman" w:hAnsi="Times New Roman" w:cs="Times New Roman"/>
          <w:b/>
          <w:bCs/>
          <w:sz w:val="24"/>
          <w:szCs w:val="24"/>
        </w:rPr>
        <w:t>Licencias y Vacaciones en Argentina.</w:t>
      </w:r>
    </w:p>
    <w:p w14:paraId="660B2F93" w14:textId="51DAAEDF" w:rsidR="00177011" w:rsidRPr="00275C1B" w:rsidRDefault="0019416B" w:rsidP="00BC68AE">
      <w:pPr>
        <w:spacing w:line="276" w:lineRule="auto"/>
        <w:jc w:val="both"/>
        <w:rPr>
          <w:rFonts w:ascii="Times New Roman" w:hAnsi="Times New Roman" w:cs="Times New Roman"/>
          <w:sz w:val="24"/>
          <w:szCs w:val="24"/>
          <w:u w:val="single"/>
        </w:rPr>
      </w:pPr>
      <w:r w:rsidRPr="0019416B">
        <w:rPr>
          <w:rFonts w:ascii="Times New Roman" w:hAnsi="Times New Roman" w:cs="Times New Roman"/>
          <w:sz w:val="24"/>
          <w:szCs w:val="24"/>
        </w:rPr>
        <w:t xml:space="preserve">II.1. </w:t>
      </w:r>
      <w:r w:rsidR="00BC68AE" w:rsidRPr="00275C1B">
        <w:rPr>
          <w:rFonts w:ascii="Times New Roman" w:hAnsi="Times New Roman" w:cs="Times New Roman"/>
          <w:sz w:val="24"/>
          <w:szCs w:val="24"/>
          <w:u w:val="single"/>
        </w:rPr>
        <w:t>Licencias:</w:t>
      </w:r>
    </w:p>
    <w:p w14:paraId="22EB4D27" w14:textId="1B266309" w:rsidR="00BC68AE" w:rsidRPr="00275C1B" w:rsidRDefault="00BC68AE" w:rsidP="00BC68AE">
      <w:pPr>
        <w:spacing w:line="276" w:lineRule="auto"/>
        <w:jc w:val="both"/>
        <w:rPr>
          <w:rFonts w:ascii="Times New Roman" w:hAnsi="Times New Roman" w:cs="Times New Roman"/>
          <w:sz w:val="24"/>
          <w:szCs w:val="24"/>
        </w:rPr>
      </w:pPr>
      <w:r w:rsidRPr="00275C1B">
        <w:rPr>
          <w:rFonts w:ascii="Times New Roman" w:hAnsi="Times New Roman" w:cs="Times New Roman"/>
          <w:sz w:val="24"/>
          <w:szCs w:val="24"/>
        </w:rPr>
        <w:t>La Ley de Contrato de Trabajo (la “</w:t>
      </w:r>
      <w:r w:rsidRPr="00275C1B">
        <w:rPr>
          <w:rFonts w:ascii="Times New Roman" w:hAnsi="Times New Roman" w:cs="Times New Roman"/>
          <w:sz w:val="24"/>
          <w:szCs w:val="24"/>
          <w:u w:val="single"/>
        </w:rPr>
        <w:t>LCT</w:t>
      </w:r>
      <w:r w:rsidRPr="00275C1B">
        <w:rPr>
          <w:rFonts w:ascii="Times New Roman" w:hAnsi="Times New Roman" w:cs="Times New Roman"/>
          <w:sz w:val="24"/>
          <w:szCs w:val="24"/>
        </w:rPr>
        <w:t xml:space="preserve">”) en su artículo 84 contempla el deber de asistencia del trabajador al establecer que </w:t>
      </w:r>
      <w:r w:rsidRPr="00275C1B">
        <w:rPr>
          <w:rFonts w:ascii="Times New Roman" w:hAnsi="Times New Roman" w:cs="Times New Roman"/>
          <w:i/>
          <w:iCs/>
          <w:sz w:val="24"/>
          <w:szCs w:val="24"/>
        </w:rPr>
        <w:t>“El trabajador debe prestar el servicio con puntualidad, asistencia regular y dedicación adecuada a las características de su empleo y a los medios instrumentales que se le provean”.</w:t>
      </w:r>
      <w:r w:rsidRPr="00275C1B">
        <w:rPr>
          <w:rFonts w:ascii="Times New Roman" w:hAnsi="Times New Roman" w:cs="Times New Roman"/>
          <w:sz w:val="24"/>
          <w:szCs w:val="24"/>
        </w:rPr>
        <w:t> </w:t>
      </w:r>
    </w:p>
    <w:p w14:paraId="4AFE1D5B" w14:textId="29F95BA8" w:rsidR="00BC68AE" w:rsidRPr="00275C1B" w:rsidRDefault="00BC68AE" w:rsidP="00BC68AE">
      <w:pPr>
        <w:spacing w:line="276" w:lineRule="auto"/>
        <w:jc w:val="both"/>
        <w:rPr>
          <w:rFonts w:ascii="Times New Roman" w:hAnsi="Times New Roman" w:cs="Times New Roman"/>
          <w:sz w:val="24"/>
          <w:szCs w:val="24"/>
        </w:rPr>
      </w:pPr>
      <w:r w:rsidRPr="00275C1B">
        <w:rPr>
          <w:rFonts w:ascii="Times New Roman" w:hAnsi="Times New Roman" w:cs="Times New Roman"/>
          <w:sz w:val="24"/>
          <w:szCs w:val="24"/>
        </w:rPr>
        <w:t>Al mismo tiempo, regula ciertos períodos de licencia durante los cuales el trabajador puede ausentarse de su trabajo sin que ello afecte su remuneración</w:t>
      </w:r>
      <w:r w:rsidR="00275C1B">
        <w:rPr>
          <w:rFonts w:ascii="Times New Roman" w:hAnsi="Times New Roman" w:cs="Times New Roman"/>
          <w:sz w:val="24"/>
          <w:szCs w:val="24"/>
        </w:rPr>
        <w:t>.</w:t>
      </w:r>
    </w:p>
    <w:p w14:paraId="03B48CE7" w14:textId="77777777" w:rsidR="00BC68AE" w:rsidRPr="00275C1B" w:rsidRDefault="00BC68AE" w:rsidP="00BC68AE">
      <w:pPr>
        <w:spacing w:line="276" w:lineRule="auto"/>
        <w:jc w:val="both"/>
        <w:rPr>
          <w:rFonts w:ascii="Times New Roman" w:hAnsi="Times New Roman" w:cs="Times New Roman"/>
          <w:sz w:val="24"/>
          <w:szCs w:val="24"/>
        </w:rPr>
      </w:pPr>
      <w:r w:rsidRPr="00275C1B">
        <w:rPr>
          <w:rFonts w:ascii="Times New Roman" w:hAnsi="Times New Roman" w:cs="Times New Roman"/>
          <w:i/>
          <w:iCs/>
          <w:sz w:val="24"/>
          <w:szCs w:val="24"/>
          <w:u w:val="single"/>
        </w:rPr>
        <w:t>Tipos de Licencias y su duración: </w:t>
      </w:r>
      <w:r w:rsidRPr="00275C1B">
        <w:rPr>
          <w:rFonts w:ascii="Times New Roman" w:hAnsi="Times New Roman" w:cs="Times New Roman"/>
          <w:sz w:val="24"/>
          <w:szCs w:val="24"/>
        </w:rPr>
        <w:t> </w:t>
      </w:r>
    </w:p>
    <w:tbl>
      <w:tblPr>
        <w:tblW w:w="8789"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6"/>
        <w:gridCol w:w="2317"/>
        <w:gridCol w:w="4536"/>
      </w:tblGrid>
      <w:tr w:rsidR="00BC68AE" w:rsidRPr="00275C1B" w14:paraId="70F839B5" w14:textId="77777777" w:rsidTr="00BC68AE">
        <w:trPr>
          <w:trHeight w:val="405"/>
        </w:trPr>
        <w:tc>
          <w:tcPr>
            <w:tcW w:w="1936" w:type="dxa"/>
            <w:tcBorders>
              <w:top w:val="single" w:sz="6" w:space="0" w:color="auto"/>
              <w:left w:val="single" w:sz="6" w:space="0" w:color="auto"/>
              <w:bottom w:val="single" w:sz="6" w:space="0" w:color="auto"/>
              <w:right w:val="single" w:sz="6" w:space="0" w:color="auto"/>
            </w:tcBorders>
            <w:hideMark/>
          </w:tcPr>
          <w:p w14:paraId="69A8666E" w14:textId="4CFDA670" w:rsidR="00BC68AE" w:rsidRPr="00275C1B" w:rsidRDefault="00BC68AE" w:rsidP="00BC68AE">
            <w:pPr>
              <w:spacing w:line="276" w:lineRule="auto"/>
              <w:jc w:val="center"/>
              <w:rPr>
                <w:rFonts w:ascii="Times New Roman" w:hAnsi="Times New Roman" w:cs="Times New Roman"/>
                <w:sz w:val="24"/>
                <w:szCs w:val="24"/>
              </w:rPr>
            </w:pPr>
            <w:r w:rsidRPr="00275C1B">
              <w:rPr>
                <w:rFonts w:ascii="Times New Roman" w:hAnsi="Times New Roman" w:cs="Times New Roman"/>
                <w:b/>
                <w:bCs/>
                <w:i/>
                <w:iCs/>
                <w:sz w:val="24"/>
                <w:szCs w:val="24"/>
              </w:rPr>
              <w:t>Tipo de licencia</w:t>
            </w:r>
          </w:p>
        </w:tc>
        <w:tc>
          <w:tcPr>
            <w:tcW w:w="2317" w:type="dxa"/>
            <w:tcBorders>
              <w:top w:val="single" w:sz="6" w:space="0" w:color="auto"/>
              <w:left w:val="single" w:sz="6" w:space="0" w:color="auto"/>
              <w:bottom w:val="single" w:sz="6" w:space="0" w:color="auto"/>
              <w:right w:val="single" w:sz="6" w:space="0" w:color="auto"/>
            </w:tcBorders>
            <w:hideMark/>
          </w:tcPr>
          <w:p w14:paraId="7C6E7302" w14:textId="541CA11D" w:rsidR="00BC68AE" w:rsidRPr="00275C1B" w:rsidRDefault="00BC68AE" w:rsidP="00BC68AE">
            <w:pPr>
              <w:spacing w:line="276" w:lineRule="auto"/>
              <w:ind w:left="360"/>
              <w:jc w:val="center"/>
              <w:rPr>
                <w:rFonts w:ascii="Times New Roman" w:hAnsi="Times New Roman" w:cs="Times New Roman"/>
                <w:sz w:val="24"/>
                <w:szCs w:val="24"/>
              </w:rPr>
            </w:pPr>
            <w:r w:rsidRPr="00275C1B">
              <w:rPr>
                <w:rFonts w:ascii="Times New Roman" w:hAnsi="Times New Roman" w:cs="Times New Roman"/>
                <w:b/>
                <w:bCs/>
                <w:i/>
                <w:iCs/>
                <w:sz w:val="24"/>
                <w:szCs w:val="24"/>
              </w:rPr>
              <w:t>LCT</w:t>
            </w:r>
          </w:p>
        </w:tc>
        <w:tc>
          <w:tcPr>
            <w:tcW w:w="4536" w:type="dxa"/>
            <w:tcBorders>
              <w:top w:val="single" w:sz="6" w:space="0" w:color="auto"/>
              <w:left w:val="single" w:sz="6" w:space="0" w:color="auto"/>
              <w:bottom w:val="single" w:sz="6" w:space="0" w:color="auto"/>
              <w:right w:val="single" w:sz="6" w:space="0" w:color="auto"/>
            </w:tcBorders>
            <w:hideMark/>
          </w:tcPr>
          <w:p w14:paraId="343F06E4" w14:textId="695DC28E" w:rsidR="00BC68AE" w:rsidRPr="00275C1B" w:rsidRDefault="00BC68AE" w:rsidP="00BC68AE">
            <w:pPr>
              <w:spacing w:line="276" w:lineRule="auto"/>
              <w:jc w:val="center"/>
              <w:rPr>
                <w:rFonts w:ascii="Times New Roman" w:hAnsi="Times New Roman" w:cs="Times New Roman"/>
                <w:sz w:val="24"/>
                <w:szCs w:val="24"/>
              </w:rPr>
            </w:pPr>
            <w:r w:rsidRPr="00275C1B">
              <w:rPr>
                <w:rFonts w:ascii="Times New Roman" w:hAnsi="Times New Roman" w:cs="Times New Roman"/>
                <w:b/>
                <w:bCs/>
                <w:i/>
                <w:iCs/>
                <w:sz w:val="24"/>
                <w:szCs w:val="24"/>
              </w:rPr>
              <w:t>Prueba</w:t>
            </w:r>
          </w:p>
        </w:tc>
      </w:tr>
      <w:tr w:rsidR="00BC68AE" w:rsidRPr="00275C1B" w14:paraId="36812C3F" w14:textId="77777777" w:rsidTr="00BC68AE">
        <w:trPr>
          <w:trHeight w:val="405"/>
        </w:trPr>
        <w:tc>
          <w:tcPr>
            <w:tcW w:w="1936" w:type="dxa"/>
            <w:tcBorders>
              <w:top w:val="single" w:sz="6" w:space="0" w:color="auto"/>
              <w:left w:val="single" w:sz="6" w:space="0" w:color="auto"/>
              <w:bottom w:val="single" w:sz="6" w:space="0" w:color="auto"/>
              <w:right w:val="single" w:sz="6" w:space="0" w:color="auto"/>
            </w:tcBorders>
          </w:tcPr>
          <w:p w14:paraId="2F64B901" w14:textId="6C72FA20" w:rsidR="00BC68AE" w:rsidRPr="00275C1B" w:rsidRDefault="00BC68AE" w:rsidP="00BC68AE">
            <w:pPr>
              <w:spacing w:line="276" w:lineRule="auto"/>
              <w:jc w:val="center"/>
              <w:rPr>
                <w:rFonts w:ascii="Times New Roman" w:hAnsi="Times New Roman" w:cs="Times New Roman"/>
                <w:i/>
                <w:iCs/>
                <w:sz w:val="24"/>
                <w:szCs w:val="24"/>
              </w:rPr>
            </w:pPr>
            <w:r w:rsidRPr="00275C1B">
              <w:rPr>
                <w:rFonts w:ascii="Times New Roman" w:hAnsi="Times New Roman" w:cs="Times New Roman"/>
                <w:i/>
                <w:iCs/>
                <w:sz w:val="24"/>
                <w:szCs w:val="24"/>
              </w:rPr>
              <w:t>Por nacimiento de hijo/a (paternidad)</w:t>
            </w:r>
          </w:p>
        </w:tc>
        <w:tc>
          <w:tcPr>
            <w:tcW w:w="2317" w:type="dxa"/>
            <w:tcBorders>
              <w:top w:val="single" w:sz="6" w:space="0" w:color="auto"/>
              <w:left w:val="single" w:sz="6" w:space="0" w:color="auto"/>
              <w:bottom w:val="single" w:sz="6" w:space="0" w:color="auto"/>
              <w:right w:val="single" w:sz="6" w:space="0" w:color="auto"/>
            </w:tcBorders>
          </w:tcPr>
          <w:p w14:paraId="461A3008" w14:textId="11F28B19" w:rsidR="00BC68AE" w:rsidRPr="00275C1B" w:rsidRDefault="00BC68AE" w:rsidP="00BC68AE">
            <w:pPr>
              <w:spacing w:line="276" w:lineRule="auto"/>
              <w:jc w:val="center"/>
              <w:rPr>
                <w:rFonts w:ascii="Times New Roman" w:hAnsi="Times New Roman" w:cs="Times New Roman"/>
                <w:i/>
                <w:iCs/>
                <w:sz w:val="24"/>
                <w:szCs w:val="24"/>
              </w:rPr>
            </w:pPr>
            <w:r w:rsidRPr="00275C1B">
              <w:rPr>
                <w:rFonts w:ascii="Times New Roman" w:hAnsi="Times New Roman" w:cs="Times New Roman"/>
                <w:i/>
                <w:iCs/>
                <w:sz w:val="24"/>
                <w:szCs w:val="24"/>
              </w:rPr>
              <w:t>2 días corridos</w:t>
            </w:r>
          </w:p>
        </w:tc>
        <w:tc>
          <w:tcPr>
            <w:tcW w:w="4536" w:type="dxa"/>
            <w:tcBorders>
              <w:top w:val="single" w:sz="6" w:space="0" w:color="auto"/>
              <w:left w:val="single" w:sz="6" w:space="0" w:color="auto"/>
              <w:bottom w:val="single" w:sz="6" w:space="0" w:color="auto"/>
              <w:right w:val="single" w:sz="6" w:space="0" w:color="auto"/>
            </w:tcBorders>
          </w:tcPr>
          <w:p w14:paraId="75B1867C" w14:textId="20CF0019" w:rsidR="00BC68AE" w:rsidRPr="00275C1B" w:rsidRDefault="00BC68AE" w:rsidP="00BC68AE">
            <w:pPr>
              <w:spacing w:line="276" w:lineRule="auto"/>
              <w:jc w:val="center"/>
              <w:rPr>
                <w:rFonts w:ascii="Times New Roman" w:hAnsi="Times New Roman" w:cs="Times New Roman"/>
                <w:i/>
                <w:iCs/>
                <w:sz w:val="24"/>
                <w:szCs w:val="24"/>
              </w:rPr>
            </w:pPr>
            <w:r w:rsidRPr="00275C1B">
              <w:rPr>
                <w:rFonts w:ascii="Times New Roman" w:hAnsi="Times New Roman" w:cs="Times New Roman"/>
                <w:i/>
                <w:iCs/>
                <w:sz w:val="24"/>
                <w:szCs w:val="24"/>
              </w:rPr>
              <w:t>Partida de nacimiento emitida por la autoridad competente (registro civil/ de las personas).</w:t>
            </w:r>
          </w:p>
        </w:tc>
      </w:tr>
      <w:tr w:rsidR="00BC68AE" w:rsidRPr="00275C1B" w14:paraId="127F1244" w14:textId="77777777" w:rsidTr="00BC68AE">
        <w:trPr>
          <w:trHeight w:val="405"/>
        </w:trPr>
        <w:tc>
          <w:tcPr>
            <w:tcW w:w="1936" w:type="dxa"/>
            <w:tcBorders>
              <w:top w:val="single" w:sz="6" w:space="0" w:color="auto"/>
              <w:left w:val="single" w:sz="6" w:space="0" w:color="auto"/>
              <w:bottom w:val="single" w:sz="6" w:space="0" w:color="auto"/>
              <w:right w:val="single" w:sz="6" w:space="0" w:color="auto"/>
            </w:tcBorders>
          </w:tcPr>
          <w:p w14:paraId="3708AFAB" w14:textId="285FB3FF" w:rsidR="00BC68AE" w:rsidRPr="00275C1B" w:rsidRDefault="00BC68AE" w:rsidP="00BC68AE">
            <w:pPr>
              <w:spacing w:line="276" w:lineRule="auto"/>
              <w:jc w:val="center"/>
              <w:rPr>
                <w:rFonts w:ascii="Times New Roman" w:hAnsi="Times New Roman" w:cs="Times New Roman"/>
                <w:i/>
                <w:iCs/>
                <w:sz w:val="24"/>
                <w:szCs w:val="24"/>
              </w:rPr>
            </w:pPr>
            <w:r w:rsidRPr="00275C1B">
              <w:rPr>
                <w:rFonts w:ascii="Times New Roman" w:hAnsi="Times New Roman" w:cs="Times New Roman"/>
                <w:i/>
                <w:iCs/>
                <w:sz w:val="24"/>
                <w:szCs w:val="24"/>
              </w:rPr>
              <w:t>Por fallecimiento de cónyuge, descendientes, ascendientes o colaterales de primer grado</w:t>
            </w:r>
          </w:p>
        </w:tc>
        <w:tc>
          <w:tcPr>
            <w:tcW w:w="2317" w:type="dxa"/>
            <w:tcBorders>
              <w:top w:val="single" w:sz="6" w:space="0" w:color="auto"/>
              <w:left w:val="single" w:sz="6" w:space="0" w:color="auto"/>
              <w:bottom w:val="single" w:sz="6" w:space="0" w:color="auto"/>
              <w:right w:val="single" w:sz="6" w:space="0" w:color="auto"/>
            </w:tcBorders>
          </w:tcPr>
          <w:p w14:paraId="6347FAFA" w14:textId="7A88F96D" w:rsidR="00BC68AE" w:rsidRPr="00275C1B" w:rsidRDefault="00BC68AE" w:rsidP="00BC68AE">
            <w:pPr>
              <w:spacing w:line="276" w:lineRule="auto"/>
              <w:jc w:val="center"/>
              <w:rPr>
                <w:rFonts w:ascii="Times New Roman" w:hAnsi="Times New Roman" w:cs="Times New Roman"/>
                <w:i/>
                <w:iCs/>
                <w:sz w:val="24"/>
                <w:szCs w:val="24"/>
              </w:rPr>
            </w:pPr>
            <w:r w:rsidRPr="00275C1B">
              <w:rPr>
                <w:rFonts w:ascii="Times New Roman" w:hAnsi="Times New Roman" w:cs="Times New Roman"/>
                <w:i/>
                <w:iCs/>
                <w:sz w:val="24"/>
                <w:szCs w:val="24"/>
              </w:rPr>
              <w:t>3 días corridos y 1 día en el caso de los colaterales de primer grado</w:t>
            </w:r>
          </w:p>
        </w:tc>
        <w:tc>
          <w:tcPr>
            <w:tcW w:w="4536" w:type="dxa"/>
            <w:tcBorders>
              <w:top w:val="single" w:sz="6" w:space="0" w:color="auto"/>
              <w:left w:val="single" w:sz="6" w:space="0" w:color="auto"/>
              <w:bottom w:val="single" w:sz="6" w:space="0" w:color="auto"/>
              <w:right w:val="single" w:sz="6" w:space="0" w:color="auto"/>
            </w:tcBorders>
          </w:tcPr>
          <w:p w14:paraId="5B742A13" w14:textId="5C907990" w:rsidR="00BC68AE" w:rsidRPr="00275C1B" w:rsidRDefault="00BC68AE" w:rsidP="00BC68AE">
            <w:pPr>
              <w:spacing w:line="276" w:lineRule="auto"/>
              <w:jc w:val="center"/>
              <w:rPr>
                <w:rFonts w:ascii="Times New Roman" w:hAnsi="Times New Roman" w:cs="Times New Roman"/>
                <w:i/>
                <w:iCs/>
                <w:sz w:val="24"/>
                <w:szCs w:val="24"/>
              </w:rPr>
            </w:pPr>
            <w:r w:rsidRPr="00275C1B">
              <w:rPr>
                <w:rFonts w:ascii="Times New Roman" w:hAnsi="Times New Roman" w:cs="Times New Roman"/>
                <w:i/>
                <w:iCs/>
                <w:sz w:val="24"/>
                <w:szCs w:val="24"/>
              </w:rPr>
              <w:t>Partida de defunción emitida por la autoridad competente (registro civil/ de las personas) y justificación del viaje, de corresponder.</w:t>
            </w:r>
          </w:p>
        </w:tc>
      </w:tr>
      <w:tr w:rsidR="00BC68AE" w:rsidRPr="00275C1B" w14:paraId="5F0106B1" w14:textId="77777777" w:rsidTr="00BC68AE">
        <w:trPr>
          <w:trHeight w:val="405"/>
        </w:trPr>
        <w:tc>
          <w:tcPr>
            <w:tcW w:w="1936" w:type="dxa"/>
            <w:tcBorders>
              <w:top w:val="single" w:sz="6" w:space="0" w:color="auto"/>
              <w:left w:val="single" w:sz="6" w:space="0" w:color="auto"/>
              <w:bottom w:val="single" w:sz="6" w:space="0" w:color="auto"/>
              <w:right w:val="single" w:sz="6" w:space="0" w:color="auto"/>
            </w:tcBorders>
          </w:tcPr>
          <w:p w14:paraId="48BE0733" w14:textId="524F6A35" w:rsidR="00BC68AE" w:rsidRPr="00275C1B" w:rsidRDefault="00BC68AE" w:rsidP="00BC68AE">
            <w:pPr>
              <w:spacing w:line="276" w:lineRule="auto"/>
              <w:jc w:val="center"/>
              <w:rPr>
                <w:rFonts w:ascii="Times New Roman" w:hAnsi="Times New Roman" w:cs="Times New Roman"/>
                <w:i/>
                <w:iCs/>
                <w:sz w:val="24"/>
                <w:szCs w:val="24"/>
              </w:rPr>
            </w:pPr>
            <w:r w:rsidRPr="00275C1B">
              <w:rPr>
                <w:rFonts w:ascii="Times New Roman" w:hAnsi="Times New Roman" w:cs="Times New Roman"/>
                <w:i/>
                <w:iCs/>
                <w:sz w:val="24"/>
                <w:szCs w:val="24"/>
              </w:rPr>
              <w:t>Por Matrimonio</w:t>
            </w:r>
          </w:p>
        </w:tc>
        <w:tc>
          <w:tcPr>
            <w:tcW w:w="2317" w:type="dxa"/>
            <w:tcBorders>
              <w:top w:val="single" w:sz="6" w:space="0" w:color="auto"/>
              <w:left w:val="single" w:sz="6" w:space="0" w:color="auto"/>
              <w:bottom w:val="single" w:sz="6" w:space="0" w:color="auto"/>
              <w:right w:val="single" w:sz="6" w:space="0" w:color="auto"/>
            </w:tcBorders>
          </w:tcPr>
          <w:p w14:paraId="3D270A0B" w14:textId="31D1D3A6" w:rsidR="00BC68AE" w:rsidRPr="00275C1B" w:rsidRDefault="00BC68AE" w:rsidP="00BC68AE">
            <w:pPr>
              <w:spacing w:line="276" w:lineRule="auto"/>
              <w:jc w:val="center"/>
              <w:rPr>
                <w:rFonts w:ascii="Times New Roman" w:hAnsi="Times New Roman" w:cs="Times New Roman"/>
                <w:i/>
                <w:iCs/>
                <w:sz w:val="24"/>
                <w:szCs w:val="24"/>
              </w:rPr>
            </w:pPr>
            <w:r w:rsidRPr="00275C1B">
              <w:rPr>
                <w:rFonts w:ascii="Times New Roman" w:hAnsi="Times New Roman" w:cs="Times New Roman"/>
                <w:i/>
                <w:iCs/>
                <w:sz w:val="24"/>
                <w:szCs w:val="24"/>
              </w:rPr>
              <w:t>10 días corridos</w:t>
            </w:r>
          </w:p>
        </w:tc>
        <w:tc>
          <w:tcPr>
            <w:tcW w:w="4536" w:type="dxa"/>
            <w:tcBorders>
              <w:top w:val="single" w:sz="6" w:space="0" w:color="auto"/>
              <w:left w:val="single" w:sz="6" w:space="0" w:color="auto"/>
              <w:bottom w:val="single" w:sz="6" w:space="0" w:color="auto"/>
              <w:right w:val="single" w:sz="6" w:space="0" w:color="auto"/>
            </w:tcBorders>
          </w:tcPr>
          <w:p w14:paraId="1DB90BA9" w14:textId="13C91038" w:rsidR="00BC68AE" w:rsidRPr="00275C1B" w:rsidRDefault="00BC68AE" w:rsidP="00BC68AE">
            <w:pPr>
              <w:spacing w:line="276" w:lineRule="auto"/>
              <w:jc w:val="center"/>
              <w:rPr>
                <w:rFonts w:ascii="Times New Roman" w:hAnsi="Times New Roman" w:cs="Times New Roman"/>
                <w:i/>
                <w:iCs/>
                <w:sz w:val="24"/>
                <w:szCs w:val="24"/>
              </w:rPr>
            </w:pPr>
            <w:r w:rsidRPr="00275C1B">
              <w:rPr>
                <w:rFonts w:ascii="Times New Roman" w:hAnsi="Times New Roman" w:cs="Times New Roman"/>
                <w:i/>
                <w:iCs/>
                <w:sz w:val="24"/>
                <w:szCs w:val="24"/>
              </w:rPr>
              <w:t>Partida de matrimonio emitida por la autoridad competente (registro civil/ de las personas).</w:t>
            </w:r>
          </w:p>
        </w:tc>
      </w:tr>
      <w:tr w:rsidR="00BC68AE" w:rsidRPr="00275C1B" w14:paraId="32919B82" w14:textId="77777777" w:rsidTr="00BC68AE">
        <w:trPr>
          <w:trHeight w:val="405"/>
        </w:trPr>
        <w:tc>
          <w:tcPr>
            <w:tcW w:w="1936" w:type="dxa"/>
            <w:tcBorders>
              <w:top w:val="single" w:sz="6" w:space="0" w:color="auto"/>
              <w:left w:val="single" w:sz="6" w:space="0" w:color="auto"/>
              <w:bottom w:val="single" w:sz="6" w:space="0" w:color="auto"/>
              <w:right w:val="single" w:sz="6" w:space="0" w:color="auto"/>
            </w:tcBorders>
          </w:tcPr>
          <w:p w14:paraId="75D013D0" w14:textId="237FEE57" w:rsidR="00BC68AE" w:rsidRPr="00275C1B" w:rsidRDefault="00BC68AE" w:rsidP="00BC68AE">
            <w:pPr>
              <w:spacing w:line="276" w:lineRule="auto"/>
              <w:jc w:val="center"/>
              <w:rPr>
                <w:rFonts w:ascii="Times New Roman" w:hAnsi="Times New Roman" w:cs="Times New Roman"/>
                <w:i/>
                <w:iCs/>
                <w:sz w:val="24"/>
                <w:szCs w:val="24"/>
              </w:rPr>
            </w:pPr>
            <w:r w:rsidRPr="00275C1B">
              <w:rPr>
                <w:rFonts w:ascii="Times New Roman" w:hAnsi="Times New Roman" w:cs="Times New Roman"/>
                <w:i/>
                <w:iCs/>
                <w:sz w:val="24"/>
                <w:szCs w:val="24"/>
              </w:rPr>
              <w:t>Por donación de sangre</w:t>
            </w:r>
          </w:p>
        </w:tc>
        <w:tc>
          <w:tcPr>
            <w:tcW w:w="2317" w:type="dxa"/>
            <w:tcBorders>
              <w:top w:val="single" w:sz="6" w:space="0" w:color="auto"/>
              <w:left w:val="single" w:sz="6" w:space="0" w:color="auto"/>
              <w:bottom w:val="single" w:sz="6" w:space="0" w:color="auto"/>
              <w:right w:val="single" w:sz="6" w:space="0" w:color="auto"/>
            </w:tcBorders>
          </w:tcPr>
          <w:p w14:paraId="4A950893" w14:textId="2C052606" w:rsidR="00BC68AE" w:rsidRPr="00275C1B" w:rsidRDefault="00BC68AE" w:rsidP="00BC68AE">
            <w:pPr>
              <w:spacing w:line="276" w:lineRule="auto"/>
              <w:jc w:val="center"/>
              <w:rPr>
                <w:rFonts w:ascii="Times New Roman" w:hAnsi="Times New Roman" w:cs="Times New Roman"/>
                <w:i/>
                <w:iCs/>
                <w:sz w:val="24"/>
                <w:szCs w:val="24"/>
              </w:rPr>
            </w:pPr>
            <w:r w:rsidRPr="00275C1B">
              <w:rPr>
                <w:rFonts w:ascii="Times New Roman" w:hAnsi="Times New Roman" w:cs="Times New Roman"/>
                <w:i/>
                <w:iCs/>
                <w:sz w:val="24"/>
                <w:szCs w:val="24"/>
              </w:rPr>
              <w:t>24 horas y, en caso de hematemesis, hasta 36 horas (Ley 22.990)</w:t>
            </w:r>
          </w:p>
        </w:tc>
        <w:tc>
          <w:tcPr>
            <w:tcW w:w="4536" w:type="dxa"/>
            <w:tcBorders>
              <w:top w:val="single" w:sz="6" w:space="0" w:color="auto"/>
              <w:left w:val="single" w:sz="6" w:space="0" w:color="auto"/>
              <w:bottom w:val="single" w:sz="6" w:space="0" w:color="auto"/>
              <w:right w:val="single" w:sz="6" w:space="0" w:color="auto"/>
            </w:tcBorders>
          </w:tcPr>
          <w:p w14:paraId="5276CC8A" w14:textId="2D03973F" w:rsidR="00BC68AE" w:rsidRPr="00275C1B" w:rsidRDefault="00BC68AE" w:rsidP="00BC68AE">
            <w:pPr>
              <w:spacing w:line="276" w:lineRule="auto"/>
              <w:jc w:val="center"/>
              <w:rPr>
                <w:rFonts w:ascii="Times New Roman" w:hAnsi="Times New Roman" w:cs="Times New Roman"/>
                <w:i/>
                <w:iCs/>
                <w:sz w:val="24"/>
                <w:szCs w:val="24"/>
              </w:rPr>
            </w:pPr>
            <w:r w:rsidRPr="00275C1B">
              <w:rPr>
                <w:rFonts w:ascii="Times New Roman" w:hAnsi="Times New Roman" w:cs="Times New Roman"/>
                <w:i/>
                <w:iCs/>
                <w:sz w:val="24"/>
                <w:szCs w:val="24"/>
              </w:rPr>
              <w:t>Certificado médico de donación</w:t>
            </w:r>
          </w:p>
        </w:tc>
      </w:tr>
      <w:tr w:rsidR="00BC68AE" w:rsidRPr="00275C1B" w14:paraId="099DF74E" w14:textId="77777777" w:rsidTr="00BC68AE">
        <w:trPr>
          <w:trHeight w:val="405"/>
        </w:trPr>
        <w:tc>
          <w:tcPr>
            <w:tcW w:w="1936" w:type="dxa"/>
            <w:tcBorders>
              <w:top w:val="single" w:sz="6" w:space="0" w:color="auto"/>
              <w:left w:val="single" w:sz="6" w:space="0" w:color="auto"/>
              <w:bottom w:val="single" w:sz="6" w:space="0" w:color="auto"/>
              <w:right w:val="single" w:sz="6" w:space="0" w:color="auto"/>
            </w:tcBorders>
          </w:tcPr>
          <w:p w14:paraId="68D54B49" w14:textId="7DCE1457" w:rsidR="00BC68AE" w:rsidRPr="00275C1B" w:rsidRDefault="00BC68AE" w:rsidP="00BC68AE">
            <w:pPr>
              <w:spacing w:line="276" w:lineRule="auto"/>
              <w:jc w:val="center"/>
              <w:rPr>
                <w:rFonts w:ascii="Times New Roman" w:hAnsi="Times New Roman" w:cs="Times New Roman"/>
                <w:i/>
                <w:iCs/>
                <w:sz w:val="24"/>
                <w:szCs w:val="24"/>
              </w:rPr>
            </w:pPr>
            <w:r w:rsidRPr="00275C1B">
              <w:rPr>
                <w:rFonts w:ascii="Times New Roman" w:hAnsi="Times New Roman" w:cs="Times New Roman"/>
                <w:i/>
                <w:iCs/>
                <w:sz w:val="24"/>
                <w:szCs w:val="24"/>
              </w:rPr>
              <w:t>Por rendir examen nivel medio</w:t>
            </w:r>
          </w:p>
        </w:tc>
        <w:tc>
          <w:tcPr>
            <w:tcW w:w="2317" w:type="dxa"/>
            <w:tcBorders>
              <w:top w:val="single" w:sz="6" w:space="0" w:color="auto"/>
              <w:left w:val="single" w:sz="6" w:space="0" w:color="auto"/>
              <w:bottom w:val="single" w:sz="6" w:space="0" w:color="auto"/>
              <w:right w:val="single" w:sz="6" w:space="0" w:color="auto"/>
            </w:tcBorders>
          </w:tcPr>
          <w:p w14:paraId="59B6163F" w14:textId="65EF403E" w:rsidR="00BC68AE" w:rsidRPr="00275C1B" w:rsidRDefault="00BC68AE" w:rsidP="00BC68AE">
            <w:pPr>
              <w:spacing w:line="276" w:lineRule="auto"/>
              <w:jc w:val="center"/>
              <w:rPr>
                <w:rFonts w:ascii="Times New Roman" w:hAnsi="Times New Roman" w:cs="Times New Roman"/>
                <w:i/>
                <w:iCs/>
                <w:sz w:val="24"/>
                <w:szCs w:val="24"/>
              </w:rPr>
            </w:pPr>
            <w:r w:rsidRPr="00275C1B">
              <w:rPr>
                <w:rFonts w:ascii="Times New Roman" w:hAnsi="Times New Roman" w:cs="Times New Roman"/>
                <w:i/>
                <w:iCs/>
                <w:sz w:val="24"/>
                <w:szCs w:val="24"/>
              </w:rPr>
              <w:t>2 días corridos por examen con un máximo de 10 días por año calendario.</w:t>
            </w:r>
          </w:p>
        </w:tc>
        <w:tc>
          <w:tcPr>
            <w:tcW w:w="4536" w:type="dxa"/>
            <w:tcBorders>
              <w:top w:val="single" w:sz="6" w:space="0" w:color="auto"/>
              <w:left w:val="single" w:sz="6" w:space="0" w:color="auto"/>
              <w:bottom w:val="single" w:sz="6" w:space="0" w:color="auto"/>
              <w:right w:val="single" w:sz="6" w:space="0" w:color="auto"/>
            </w:tcBorders>
          </w:tcPr>
          <w:p w14:paraId="398049DA" w14:textId="2BD858EF" w:rsidR="00BC68AE" w:rsidRPr="00275C1B" w:rsidRDefault="00BC68AE" w:rsidP="00BC68AE">
            <w:pPr>
              <w:tabs>
                <w:tab w:val="left" w:pos="1755"/>
              </w:tabs>
              <w:spacing w:line="276" w:lineRule="auto"/>
              <w:jc w:val="center"/>
              <w:rPr>
                <w:rFonts w:ascii="Times New Roman" w:hAnsi="Times New Roman" w:cs="Times New Roman"/>
                <w:i/>
                <w:iCs/>
                <w:sz w:val="24"/>
                <w:szCs w:val="24"/>
              </w:rPr>
            </w:pPr>
            <w:r w:rsidRPr="00275C1B">
              <w:rPr>
                <w:rFonts w:ascii="Times New Roman" w:hAnsi="Times New Roman" w:cs="Times New Roman"/>
                <w:i/>
                <w:iCs/>
                <w:sz w:val="24"/>
                <w:szCs w:val="24"/>
              </w:rPr>
              <w:t>Certificado emitido por la autoridad educativa.</w:t>
            </w:r>
          </w:p>
        </w:tc>
      </w:tr>
      <w:tr w:rsidR="00BC68AE" w:rsidRPr="00275C1B" w14:paraId="4FC53253" w14:textId="77777777" w:rsidTr="00BC68AE">
        <w:trPr>
          <w:trHeight w:val="405"/>
        </w:trPr>
        <w:tc>
          <w:tcPr>
            <w:tcW w:w="1936" w:type="dxa"/>
            <w:tcBorders>
              <w:top w:val="single" w:sz="6" w:space="0" w:color="auto"/>
              <w:left w:val="single" w:sz="6" w:space="0" w:color="auto"/>
              <w:bottom w:val="single" w:sz="6" w:space="0" w:color="auto"/>
              <w:right w:val="single" w:sz="6" w:space="0" w:color="auto"/>
            </w:tcBorders>
          </w:tcPr>
          <w:p w14:paraId="4D777C93" w14:textId="561B1725" w:rsidR="00BC68AE" w:rsidRPr="00275C1B" w:rsidRDefault="00BC68AE" w:rsidP="00BC68AE">
            <w:pPr>
              <w:spacing w:line="276" w:lineRule="auto"/>
              <w:jc w:val="center"/>
              <w:rPr>
                <w:rFonts w:ascii="Times New Roman" w:hAnsi="Times New Roman" w:cs="Times New Roman"/>
                <w:i/>
                <w:iCs/>
                <w:sz w:val="24"/>
                <w:szCs w:val="24"/>
              </w:rPr>
            </w:pPr>
            <w:r w:rsidRPr="00275C1B">
              <w:rPr>
                <w:rFonts w:ascii="Times New Roman" w:hAnsi="Times New Roman" w:cs="Times New Roman"/>
                <w:i/>
                <w:iCs/>
                <w:sz w:val="24"/>
                <w:szCs w:val="24"/>
              </w:rPr>
              <w:lastRenderedPageBreak/>
              <w:t>Por rendir examen nivel medio o universitario</w:t>
            </w:r>
          </w:p>
        </w:tc>
        <w:tc>
          <w:tcPr>
            <w:tcW w:w="2317" w:type="dxa"/>
            <w:tcBorders>
              <w:top w:val="single" w:sz="6" w:space="0" w:color="auto"/>
              <w:left w:val="single" w:sz="6" w:space="0" w:color="auto"/>
              <w:bottom w:val="single" w:sz="6" w:space="0" w:color="auto"/>
              <w:right w:val="single" w:sz="6" w:space="0" w:color="auto"/>
            </w:tcBorders>
          </w:tcPr>
          <w:p w14:paraId="7BF2E6A5" w14:textId="01417851" w:rsidR="00BC68AE" w:rsidRPr="00275C1B" w:rsidRDefault="00BC68AE" w:rsidP="00BC68AE">
            <w:pPr>
              <w:spacing w:line="276" w:lineRule="auto"/>
              <w:jc w:val="center"/>
              <w:rPr>
                <w:rFonts w:ascii="Times New Roman" w:hAnsi="Times New Roman" w:cs="Times New Roman"/>
                <w:i/>
                <w:iCs/>
                <w:sz w:val="24"/>
                <w:szCs w:val="24"/>
              </w:rPr>
            </w:pPr>
            <w:r w:rsidRPr="00275C1B">
              <w:rPr>
                <w:rFonts w:ascii="Times New Roman" w:hAnsi="Times New Roman" w:cs="Times New Roman"/>
                <w:i/>
                <w:iCs/>
                <w:sz w:val="24"/>
                <w:szCs w:val="24"/>
              </w:rPr>
              <w:t>2 días corridos por examen con un máximo de 10 días por año calendario.</w:t>
            </w:r>
          </w:p>
        </w:tc>
        <w:tc>
          <w:tcPr>
            <w:tcW w:w="4536" w:type="dxa"/>
            <w:tcBorders>
              <w:top w:val="single" w:sz="6" w:space="0" w:color="auto"/>
              <w:left w:val="single" w:sz="6" w:space="0" w:color="auto"/>
              <w:bottom w:val="single" w:sz="6" w:space="0" w:color="auto"/>
              <w:right w:val="single" w:sz="6" w:space="0" w:color="auto"/>
            </w:tcBorders>
          </w:tcPr>
          <w:p w14:paraId="30874094" w14:textId="47B16250" w:rsidR="00BC68AE" w:rsidRPr="00275C1B" w:rsidRDefault="00BC68AE" w:rsidP="00BC68AE">
            <w:pPr>
              <w:spacing w:line="276" w:lineRule="auto"/>
              <w:jc w:val="center"/>
              <w:rPr>
                <w:rFonts w:ascii="Times New Roman" w:hAnsi="Times New Roman" w:cs="Times New Roman"/>
                <w:i/>
                <w:iCs/>
                <w:sz w:val="24"/>
                <w:szCs w:val="24"/>
              </w:rPr>
            </w:pPr>
            <w:r w:rsidRPr="00275C1B">
              <w:rPr>
                <w:rFonts w:ascii="Times New Roman" w:hAnsi="Times New Roman" w:cs="Times New Roman"/>
                <w:i/>
                <w:iCs/>
                <w:sz w:val="24"/>
                <w:szCs w:val="24"/>
              </w:rPr>
              <w:t>Certificado emitido por la autoridad educativa.</w:t>
            </w:r>
          </w:p>
        </w:tc>
      </w:tr>
    </w:tbl>
    <w:p w14:paraId="538A18C8" w14:textId="77777777" w:rsidR="00BC68AE" w:rsidRPr="00275C1B" w:rsidRDefault="00BC68AE" w:rsidP="00BC68AE">
      <w:pPr>
        <w:spacing w:line="276" w:lineRule="auto"/>
        <w:ind w:left="360"/>
        <w:jc w:val="both"/>
        <w:rPr>
          <w:rFonts w:ascii="Times New Roman" w:hAnsi="Times New Roman" w:cs="Times New Roman"/>
          <w:sz w:val="24"/>
          <w:szCs w:val="24"/>
        </w:rPr>
      </w:pPr>
    </w:p>
    <w:p w14:paraId="02DE0D31" w14:textId="5E3DF3C7" w:rsidR="00BC68AE" w:rsidRPr="00275C1B" w:rsidRDefault="00BC68AE" w:rsidP="00BC68AE">
      <w:pPr>
        <w:spacing w:line="276" w:lineRule="auto"/>
        <w:jc w:val="both"/>
        <w:rPr>
          <w:rFonts w:ascii="Times New Roman" w:hAnsi="Times New Roman" w:cs="Times New Roman"/>
          <w:sz w:val="24"/>
          <w:szCs w:val="24"/>
        </w:rPr>
      </w:pPr>
      <w:r w:rsidRPr="00275C1B">
        <w:rPr>
          <w:rFonts w:ascii="Times New Roman" w:hAnsi="Times New Roman" w:cs="Times New Roman"/>
          <w:sz w:val="24"/>
          <w:szCs w:val="24"/>
        </w:rPr>
        <w:t xml:space="preserve">Las enfermedades o accidentes inculpables son aquellas afecciones que, al no tener origen en la relación laboral entre empleado y empleador, impiden al trabajador cumplir con sus obligaciones contractuales. Se denominan inculpables porque no se atribuye al empleador responsabilidad alguna en su origen. </w:t>
      </w:r>
    </w:p>
    <w:p w14:paraId="4B0FEAB4" w14:textId="313AACE7" w:rsidR="00BC68AE" w:rsidRPr="00275C1B" w:rsidRDefault="00BC68AE" w:rsidP="00BC68AE">
      <w:pPr>
        <w:spacing w:line="276" w:lineRule="auto"/>
        <w:jc w:val="both"/>
        <w:rPr>
          <w:rFonts w:ascii="Times New Roman" w:hAnsi="Times New Roman" w:cs="Times New Roman"/>
          <w:sz w:val="24"/>
          <w:szCs w:val="24"/>
        </w:rPr>
      </w:pPr>
      <w:r w:rsidRPr="00275C1B">
        <w:rPr>
          <w:rFonts w:ascii="Times New Roman" w:hAnsi="Times New Roman" w:cs="Times New Roman"/>
          <w:sz w:val="24"/>
          <w:szCs w:val="24"/>
        </w:rPr>
        <w:t>El artículo 208 de la LCT establece los períodos de licencia por enfermedad o accidente inculpable en función de la antigüedad del trabajador y de si posee cargas de familia. Si el empleado tiene menos de cinco años de antigüedad, le corresponde una licencia paga de tres meses sin cargas de familia, y de seis meses si las tuviera. En caso de superar los cinco años de antigüedad, los plazos se duplican: seis meses sin cargas de familia y doce meses con cargas.</w:t>
      </w:r>
    </w:p>
    <w:p w14:paraId="341A6E67" w14:textId="3CABDCB9" w:rsidR="00BC68AE" w:rsidRDefault="00BC68AE" w:rsidP="00BC68AE">
      <w:pPr>
        <w:spacing w:line="276" w:lineRule="auto"/>
        <w:jc w:val="both"/>
        <w:rPr>
          <w:rFonts w:ascii="Times New Roman" w:hAnsi="Times New Roman" w:cs="Times New Roman"/>
          <w:sz w:val="24"/>
          <w:szCs w:val="24"/>
        </w:rPr>
      </w:pPr>
      <w:r w:rsidRPr="00275C1B">
        <w:rPr>
          <w:rFonts w:ascii="Times New Roman" w:hAnsi="Times New Roman" w:cs="Times New Roman"/>
          <w:sz w:val="24"/>
          <w:szCs w:val="24"/>
        </w:rPr>
        <w:t>Durante el período de licencia, el trabajador tiene derecho a percibir la remuneración que hubiera recibido en condiciones normales de trabajo. Esta debe incluir los aumentos salariales otorgados al personal de su misma categoría durante la suspensión del servicio, ya sea por disposición legal, convenio colectivo o decisión unilateral del empleador. En caso de que la remuneración incluya componentes variables, se abonará un promedio de lo percibido en los últimos seis meses.</w:t>
      </w:r>
    </w:p>
    <w:p w14:paraId="756598AC" w14:textId="7C8C3059" w:rsidR="0019416B" w:rsidRDefault="0019416B" w:rsidP="00BC68AE">
      <w:pPr>
        <w:spacing w:line="276" w:lineRule="auto"/>
        <w:jc w:val="both"/>
        <w:rPr>
          <w:rFonts w:ascii="Times New Roman" w:hAnsi="Times New Roman" w:cs="Times New Roman"/>
          <w:sz w:val="24"/>
          <w:szCs w:val="24"/>
        </w:rPr>
      </w:pPr>
      <w:r>
        <w:rPr>
          <w:rFonts w:ascii="Times New Roman" w:hAnsi="Times New Roman" w:cs="Times New Roman"/>
          <w:sz w:val="24"/>
          <w:szCs w:val="24"/>
        </w:rPr>
        <w:t>Los convenios colectivos de trabajo pueden ampliar los supuestos de licencias, y/o la cantidad de días dispuestos por la LCT.</w:t>
      </w:r>
    </w:p>
    <w:p w14:paraId="51BD9B0E" w14:textId="77777777" w:rsidR="0019416B" w:rsidRPr="00275C1B" w:rsidRDefault="0019416B" w:rsidP="00BC68AE">
      <w:pPr>
        <w:spacing w:line="276" w:lineRule="auto"/>
        <w:jc w:val="both"/>
        <w:rPr>
          <w:rFonts w:ascii="Times New Roman" w:hAnsi="Times New Roman" w:cs="Times New Roman"/>
          <w:sz w:val="24"/>
          <w:szCs w:val="24"/>
        </w:rPr>
      </w:pPr>
    </w:p>
    <w:p w14:paraId="0E5D867E" w14:textId="680FEF71" w:rsidR="00BC68AE" w:rsidRPr="00275C1B" w:rsidRDefault="0019416B" w:rsidP="00BC68AE">
      <w:pPr>
        <w:spacing w:line="276" w:lineRule="auto"/>
        <w:jc w:val="both"/>
        <w:rPr>
          <w:rFonts w:ascii="Times New Roman" w:hAnsi="Times New Roman" w:cs="Times New Roman"/>
          <w:sz w:val="24"/>
          <w:szCs w:val="24"/>
          <w:u w:val="single"/>
        </w:rPr>
      </w:pPr>
      <w:r w:rsidRPr="0019416B">
        <w:rPr>
          <w:rFonts w:ascii="Times New Roman" w:hAnsi="Times New Roman" w:cs="Times New Roman"/>
          <w:sz w:val="24"/>
          <w:szCs w:val="24"/>
        </w:rPr>
        <w:t>II.</w:t>
      </w:r>
      <w:r>
        <w:rPr>
          <w:rFonts w:ascii="Times New Roman" w:hAnsi="Times New Roman" w:cs="Times New Roman"/>
          <w:sz w:val="24"/>
          <w:szCs w:val="24"/>
        </w:rPr>
        <w:t>2</w:t>
      </w:r>
      <w:r w:rsidRPr="0019416B">
        <w:rPr>
          <w:rFonts w:ascii="Times New Roman" w:hAnsi="Times New Roman" w:cs="Times New Roman"/>
          <w:sz w:val="24"/>
          <w:szCs w:val="24"/>
        </w:rPr>
        <w:t xml:space="preserve">. </w:t>
      </w:r>
      <w:r w:rsidR="00BC68AE" w:rsidRPr="00275C1B">
        <w:rPr>
          <w:rFonts w:ascii="Times New Roman" w:hAnsi="Times New Roman" w:cs="Times New Roman"/>
          <w:sz w:val="24"/>
          <w:szCs w:val="24"/>
          <w:u w:val="single"/>
        </w:rPr>
        <w:t>Vacaciones:</w:t>
      </w:r>
    </w:p>
    <w:p w14:paraId="2B3C8432" w14:textId="63F53FA8" w:rsidR="00BC68AE" w:rsidRPr="00275C1B" w:rsidRDefault="00BC68AE" w:rsidP="00BC68AE">
      <w:pPr>
        <w:spacing w:line="276" w:lineRule="auto"/>
        <w:jc w:val="both"/>
        <w:rPr>
          <w:rFonts w:ascii="Times New Roman" w:hAnsi="Times New Roman" w:cs="Times New Roman"/>
          <w:sz w:val="24"/>
          <w:szCs w:val="24"/>
        </w:rPr>
      </w:pPr>
      <w:r w:rsidRPr="00275C1B">
        <w:rPr>
          <w:rFonts w:ascii="Times New Roman" w:hAnsi="Times New Roman" w:cs="Times New Roman"/>
          <w:sz w:val="24"/>
          <w:szCs w:val="24"/>
        </w:rPr>
        <w:t>La licencia anual ordinaria por vacaciones consiste en un lapso continuado de descanso remunerado que tiene derecho el trabajador que ha prestado un mínimo tiempo de servicios, para lograr su restablecimiento integral y duradero, psíquico y físico. La Ley de Contrato de Trabajo 20.744, en su art. 150 refiere a la licencia anual ordinaria como el “período mínimo y continuado de descanso anual remunerado”. Esta licencia fija plazos mínimos que corresponderán al trabajador dependiendo de su antigüedad:</w:t>
      </w:r>
    </w:p>
    <w:p w14:paraId="2C7AE7EB" w14:textId="77777777" w:rsidR="00BC68AE" w:rsidRPr="00275C1B" w:rsidRDefault="00BC68AE" w:rsidP="00BC68AE">
      <w:pPr>
        <w:spacing w:before="100" w:beforeAutospacing="1" w:after="100" w:afterAutospacing="1" w:line="276" w:lineRule="auto"/>
        <w:jc w:val="both"/>
        <w:rPr>
          <w:rFonts w:ascii="Times New Roman" w:hAnsi="Times New Roman" w:cs="Times New Roman"/>
          <w:sz w:val="24"/>
          <w:szCs w:val="24"/>
        </w:rPr>
      </w:pPr>
      <w:r w:rsidRPr="00275C1B">
        <w:rPr>
          <w:rFonts w:ascii="Times New Roman" w:hAnsi="Times New Roman" w:cs="Times New Roman"/>
          <w:sz w:val="24"/>
          <w:szCs w:val="24"/>
        </w:rPr>
        <w:t>a) 14 días corridos cuando la antigüedad en el empleo no exceda de 5 años.</w:t>
      </w:r>
    </w:p>
    <w:p w14:paraId="021FFDCA" w14:textId="77777777" w:rsidR="00BC68AE" w:rsidRPr="00275C1B" w:rsidRDefault="00BC68AE" w:rsidP="00BC68AE">
      <w:pPr>
        <w:spacing w:before="100" w:beforeAutospacing="1" w:after="100" w:afterAutospacing="1" w:line="276" w:lineRule="auto"/>
        <w:jc w:val="both"/>
        <w:rPr>
          <w:rFonts w:ascii="Times New Roman" w:hAnsi="Times New Roman" w:cs="Times New Roman"/>
          <w:sz w:val="24"/>
          <w:szCs w:val="24"/>
        </w:rPr>
      </w:pPr>
      <w:r w:rsidRPr="00275C1B">
        <w:rPr>
          <w:rFonts w:ascii="Times New Roman" w:hAnsi="Times New Roman" w:cs="Times New Roman"/>
          <w:sz w:val="24"/>
          <w:szCs w:val="24"/>
        </w:rPr>
        <w:t>b) 21 días corridos cuando siendo la antigüedad mayor de 5 años no exceda de 10.</w:t>
      </w:r>
    </w:p>
    <w:p w14:paraId="2057D293" w14:textId="77777777" w:rsidR="00BC68AE" w:rsidRPr="00275C1B" w:rsidRDefault="00BC68AE" w:rsidP="00BC68AE">
      <w:pPr>
        <w:spacing w:before="100" w:beforeAutospacing="1" w:after="100" w:afterAutospacing="1" w:line="276" w:lineRule="auto"/>
        <w:jc w:val="both"/>
        <w:rPr>
          <w:rFonts w:ascii="Times New Roman" w:hAnsi="Times New Roman" w:cs="Times New Roman"/>
          <w:sz w:val="24"/>
          <w:szCs w:val="24"/>
        </w:rPr>
      </w:pPr>
      <w:r w:rsidRPr="00275C1B">
        <w:rPr>
          <w:rFonts w:ascii="Times New Roman" w:hAnsi="Times New Roman" w:cs="Times New Roman"/>
          <w:sz w:val="24"/>
          <w:szCs w:val="24"/>
        </w:rPr>
        <w:t>c) 28 días corridos cuando la antigüedad siendo mayor de 10 años no exceda de 20.</w:t>
      </w:r>
    </w:p>
    <w:p w14:paraId="643620FA" w14:textId="77777777" w:rsidR="00BC68AE" w:rsidRPr="00275C1B" w:rsidRDefault="00BC68AE" w:rsidP="00BC68AE">
      <w:pPr>
        <w:spacing w:before="100" w:beforeAutospacing="1" w:after="100" w:afterAutospacing="1" w:line="276" w:lineRule="auto"/>
        <w:jc w:val="both"/>
        <w:rPr>
          <w:rFonts w:ascii="Times New Roman" w:hAnsi="Times New Roman" w:cs="Times New Roman"/>
          <w:sz w:val="24"/>
          <w:szCs w:val="24"/>
        </w:rPr>
      </w:pPr>
      <w:r w:rsidRPr="00275C1B">
        <w:rPr>
          <w:rFonts w:ascii="Times New Roman" w:hAnsi="Times New Roman" w:cs="Times New Roman"/>
          <w:sz w:val="24"/>
          <w:szCs w:val="24"/>
        </w:rPr>
        <w:t>d) 35 días corridos cuando la antigüedad exceda de 20 años.</w:t>
      </w:r>
    </w:p>
    <w:p w14:paraId="675B167F" w14:textId="0F6D1BFC" w:rsidR="00BC68AE" w:rsidRPr="00275C1B" w:rsidRDefault="00BC68AE" w:rsidP="00BC68AE">
      <w:pPr>
        <w:spacing w:line="276" w:lineRule="auto"/>
        <w:jc w:val="both"/>
        <w:rPr>
          <w:rFonts w:ascii="Times New Roman" w:hAnsi="Times New Roman" w:cs="Times New Roman"/>
          <w:sz w:val="24"/>
          <w:szCs w:val="24"/>
        </w:rPr>
      </w:pPr>
      <w:r w:rsidRPr="00275C1B">
        <w:rPr>
          <w:rFonts w:ascii="Times New Roman" w:hAnsi="Times New Roman" w:cs="Times New Roman"/>
          <w:sz w:val="24"/>
          <w:szCs w:val="24"/>
        </w:rPr>
        <w:t xml:space="preserve">El empleador deberá conceder el goce de vacaciones de cada año dentro del período comprendido entre el 1° de octubre y el 30 de abril del año siguiente (artículo 154 de la LCT). La fecha de iniciación de las vacaciones deberá ser comunicada por escrito, con una anticipación no menor de 45 días al trabajador, ello sin perjuicio que las convenciones </w:t>
      </w:r>
      <w:r w:rsidRPr="00275C1B">
        <w:rPr>
          <w:rFonts w:ascii="Times New Roman" w:hAnsi="Times New Roman" w:cs="Times New Roman"/>
          <w:sz w:val="24"/>
          <w:szCs w:val="24"/>
        </w:rPr>
        <w:lastRenderedPageBreak/>
        <w:t>colectivas puedan instituir sistemas distintos acordes con las modalidades de cada actividad. Si vencido el plazo para efectuar la comunicación al trabajador de la fecha de comienzo de sus vacaciones, el empleador no la hubiere practicado, el trabajador puede hacer uso de ese derecho previa notificación fehaciente de ello, de modo que las vacaciones concluyan antes del 31 de mayo.</w:t>
      </w:r>
    </w:p>
    <w:p w14:paraId="4E037437" w14:textId="131D85DA" w:rsidR="00BC68AE" w:rsidRPr="00275C1B" w:rsidRDefault="00BC68AE" w:rsidP="00BC68AE">
      <w:pPr>
        <w:spacing w:line="276" w:lineRule="auto"/>
        <w:jc w:val="both"/>
        <w:rPr>
          <w:rFonts w:ascii="Times New Roman" w:hAnsi="Times New Roman" w:cs="Times New Roman"/>
          <w:sz w:val="24"/>
          <w:szCs w:val="24"/>
        </w:rPr>
      </w:pPr>
      <w:r w:rsidRPr="00275C1B">
        <w:rPr>
          <w:rFonts w:ascii="Times New Roman" w:hAnsi="Times New Roman" w:cs="Times New Roman"/>
          <w:sz w:val="24"/>
          <w:szCs w:val="24"/>
        </w:rPr>
        <w:t>De acuerdo con el texto de la LCT, las vacaciones no se pueden fraccionar y, por lo tanto, deberían gozarse de manera continuada e ininterrumpida dentro del plazo legal previsto al efecto. Si el trabajador no se tomó las vacaciones antes del 31 de mayo – ya sea porque el empleador no se las otorgó o porque el trabajador no hizo uso del derecho de tomarlas por sí – pierde el derecho a gozarlas y a que se las paguen: es un plazo de caducidad que atiende al fin perseguido por el instituto.</w:t>
      </w:r>
    </w:p>
    <w:p w14:paraId="758E5332" w14:textId="77777777" w:rsidR="00BC68AE" w:rsidRDefault="00BC68AE" w:rsidP="00BC68AE">
      <w:pPr>
        <w:spacing w:before="100" w:beforeAutospacing="1" w:after="100" w:afterAutospacing="1" w:line="276" w:lineRule="auto"/>
        <w:jc w:val="both"/>
        <w:rPr>
          <w:rFonts w:ascii="Times New Roman" w:hAnsi="Times New Roman" w:cs="Times New Roman"/>
          <w:sz w:val="24"/>
          <w:szCs w:val="24"/>
        </w:rPr>
      </w:pPr>
      <w:r w:rsidRPr="00275C1B">
        <w:rPr>
          <w:rFonts w:ascii="Times New Roman" w:hAnsi="Times New Roman" w:cs="Times New Roman"/>
          <w:sz w:val="24"/>
          <w:szCs w:val="24"/>
        </w:rPr>
        <w:t>La Ley de Contrato de Trabajo prohíbe que las vacaciones sean compensadas en dinero y establece que no podrán ser gozadas en el futuro: no se acumularán en un período posterior ni podrán ser reemplazadas por dinero (art. 162 LCT).</w:t>
      </w:r>
    </w:p>
    <w:p w14:paraId="5CDBE6E1" w14:textId="11413DA5" w:rsidR="0019416B" w:rsidRDefault="0019416B" w:rsidP="0019416B">
      <w:pPr>
        <w:spacing w:line="276" w:lineRule="auto"/>
        <w:jc w:val="both"/>
        <w:rPr>
          <w:rFonts w:ascii="Times New Roman" w:hAnsi="Times New Roman" w:cs="Times New Roman"/>
          <w:sz w:val="24"/>
          <w:szCs w:val="24"/>
        </w:rPr>
      </w:pPr>
      <w:r>
        <w:rPr>
          <w:rFonts w:ascii="Times New Roman" w:hAnsi="Times New Roman" w:cs="Times New Roman"/>
          <w:sz w:val="24"/>
          <w:szCs w:val="24"/>
        </w:rPr>
        <w:t>Al igual que en el caso de las licencias, l</w:t>
      </w:r>
      <w:r>
        <w:rPr>
          <w:rFonts w:ascii="Times New Roman" w:hAnsi="Times New Roman" w:cs="Times New Roman"/>
          <w:sz w:val="24"/>
          <w:szCs w:val="24"/>
        </w:rPr>
        <w:t xml:space="preserve">os convenios colectivos de trabajo </w:t>
      </w:r>
      <w:r>
        <w:rPr>
          <w:rFonts w:ascii="Times New Roman" w:hAnsi="Times New Roman" w:cs="Times New Roman"/>
          <w:sz w:val="24"/>
          <w:szCs w:val="24"/>
        </w:rPr>
        <w:t xml:space="preserve">también </w:t>
      </w:r>
      <w:r>
        <w:rPr>
          <w:rFonts w:ascii="Times New Roman" w:hAnsi="Times New Roman" w:cs="Times New Roman"/>
          <w:sz w:val="24"/>
          <w:szCs w:val="24"/>
        </w:rPr>
        <w:t xml:space="preserve">pueden ampliar la cantidad de días </w:t>
      </w:r>
      <w:r>
        <w:rPr>
          <w:rFonts w:ascii="Times New Roman" w:hAnsi="Times New Roman" w:cs="Times New Roman"/>
          <w:sz w:val="24"/>
          <w:szCs w:val="24"/>
        </w:rPr>
        <w:t xml:space="preserve">de vacaciones </w:t>
      </w:r>
      <w:r>
        <w:rPr>
          <w:rFonts w:ascii="Times New Roman" w:hAnsi="Times New Roman" w:cs="Times New Roman"/>
          <w:sz w:val="24"/>
          <w:szCs w:val="24"/>
        </w:rPr>
        <w:t>dispuestos por la LCT.</w:t>
      </w:r>
    </w:p>
    <w:p w14:paraId="5E5D549A" w14:textId="29A86AB3" w:rsidR="00BC68AE" w:rsidRDefault="00275C1B" w:rsidP="00BC68AE">
      <w:pPr>
        <w:jc w:val="both"/>
        <w:rPr>
          <w:rFonts w:ascii="Times New Roman" w:hAnsi="Times New Roman" w:cs="Times New Roman"/>
          <w:sz w:val="24"/>
          <w:szCs w:val="24"/>
          <w:u w:val="single"/>
        </w:rPr>
      </w:pPr>
      <w:r w:rsidRPr="00275C1B">
        <w:rPr>
          <w:rFonts w:ascii="Times New Roman" w:hAnsi="Times New Roman" w:cs="Times New Roman"/>
          <w:sz w:val="24"/>
          <w:szCs w:val="24"/>
          <w:u w:val="single"/>
        </w:rPr>
        <w:t>Jurisprudencia relevante</w:t>
      </w:r>
    </w:p>
    <w:p w14:paraId="7BF0DC42" w14:textId="77777777" w:rsidR="00275C1B" w:rsidRPr="00275C1B" w:rsidRDefault="00275C1B" w:rsidP="00275C1B">
      <w:pPr>
        <w:jc w:val="both"/>
        <w:rPr>
          <w:rFonts w:ascii="Times New Roman" w:hAnsi="Times New Roman" w:cs="Times New Roman"/>
          <w:sz w:val="24"/>
          <w:szCs w:val="24"/>
        </w:rPr>
      </w:pPr>
      <w:r w:rsidRPr="00275C1B">
        <w:rPr>
          <w:rFonts w:ascii="Times New Roman" w:hAnsi="Times New Roman" w:cs="Times New Roman"/>
          <w:sz w:val="24"/>
          <w:szCs w:val="24"/>
        </w:rPr>
        <w:t xml:space="preserve">Dr. GREGORIO CORACH dijo: </w:t>
      </w:r>
      <w:r w:rsidRPr="00275C1B">
        <w:rPr>
          <w:rFonts w:ascii="Times New Roman" w:hAnsi="Times New Roman" w:cs="Times New Roman"/>
          <w:i/>
          <w:iCs/>
          <w:sz w:val="24"/>
          <w:szCs w:val="24"/>
        </w:rPr>
        <w:t xml:space="preserve">“Lo que quiero destacar con cierto énfasis es que la demandada estaba en conocimiento del estado de salud que presentaba el Sr. Pérez, e incluso de su imposibilidad de salir de su casa para concurrir al dermatólogo y otros profesionales, situación que corrobora la Dra. Vázquez en su declaración brindada a fs. 275/277, por lo que debió contemplar la situación y arbitrar los medios a su alcance para ejercer su facultad de control (cfr. art. 210 LCT) en el domicilio del accionante, lo que no surge que hubiera concretado y hecha por tierra la conducta obstruccionista a la mentada facultad endilgada al actor en la comunicación extintiva. En el contexto precitado y teniendo en cuenta que de conformidad con lo normado por el art. 242 de la L.C.T., corresponde al judicante la valoración prudencial de la injuria, atendiendo al carácter de la relación, las modalidades y las circunstancias en las que se producen los hechos, estimo que la decisión extintiva de la empleadora no resultó ajustada a derecho (cfr. art. 242 LCT)y, por lo tanto, la decisión de grado que hizo lugar a la acción en procura del cobro de las acreencias derivadas del distracto incausado debe ser confirmada.” </w:t>
      </w:r>
    </w:p>
    <w:p w14:paraId="623EBF3E" w14:textId="77777777" w:rsidR="00275C1B" w:rsidRPr="00275C1B" w:rsidRDefault="00275C1B" w:rsidP="00275C1B">
      <w:pPr>
        <w:jc w:val="both"/>
        <w:rPr>
          <w:rFonts w:ascii="Times New Roman" w:hAnsi="Times New Roman" w:cs="Times New Roman"/>
          <w:b/>
          <w:bCs/>
          <w:sz w:val="24"/>
          <w:szCs w:val="24"/>
          <w:u w:val="single"/>
        </w:rPr>
      </w:pPr>
      <w:r w:rsidRPr="00275C1B">
        <w:rPr>
          <w:rFonts w:ascii="Times New Roman" w:hAnsi="Times New Roman" w:cs="Times New Roman"/>
          <w:b/>
          <w:bCs/>
          <w:sz w:val="24"/>
          <w:szCs w:val="24"/>
          <w:u w:val="single"/>
        </w:rPr>
        <w:t>CÁMARA NACIONAL DE APELACIONES DEL TRABAJO - SALA X: "PEREZ, SERGIO DANIEL (1312) c/ WAL MART ARGENTINA S.R.L. s/DESPIDO", causa CNT 019427/2016/CA001, 01/12/2020</w:t>
      </w:r>
    </w:p>
    <w:p w14:paraId="37035B93" w14:textId="77777777" w:rsidR="00275C1B" w:rsidRPr="00275C1B" w:rsidRDefault="00275C1B" w:rsidP="00275C1B">
      <w:pPr>
        <w:jc w:val="both"/>
        <w:rPr>
          <w:rFonts w:ascii="Times New Roman" w:hAnsi="Times New Roman" w:cs="Times New Roman"/>
          <w:sz w:val="24"/>
          <w:szCs w:val="24"/>
        </w:rPr>
      </w:pPr>
      <w:r w:rsidRPr="00275C1B">
        <w:rPr>
          <w:rFonts w:ascii="Times New Roman" w:hAnsi="Times New Roman" w:cs="Times New Roman"/>
          <w:sz w:val="24"/>
          <w:szCs w:val="24"/>
        </w:rPr>
        <w:t xml:space="preserve">Dr. Manuel P. Díez Selva </w:t>
      </w:r>
      <w:r w:rsidRPr="00275C1B">
        <w:rPr>
          <w:rFonts w:ascii="Times New Roman" w:hAnsi="Times New Roman" w:cs="Times New Roman"/>
          <w:i/>
          <w:iCs/>
          <w:sz w:val="24"/>
          <w:szCs w:val="24"/>
        </w:rPr>
        <w:t xml:space="preserve">“Del artículo citado se desprende que la época de otorgamiento de la licencia por vacaciones se encuentra legalmente prevista a partir del 1º de octubre a 30 de abril del año siguiente, con una antelación no menor a 45 días. Sin embargo, debe notarse que la disposición del art. 157 de la LCT expresa: “Si vencido el plazo para efectuar la comunicación al trabajador de la fecha de comienzo de sus vacaciones, el empleador no la hubiere practicado, aquél hará uso de ese derecho previa notificación fehaciente de ello, de modo que aquéllas concluyan antes del 31 de mayo.” Es decir, que si el empleador no efectúa la notificación del comienzo y el lapso de vacaciones al dependiente en los términos del art. 154 de la LCT, una vez vencido el plazo allí </w:t>
      </w:r>
      <w:r w:rsidRPr="00275C1B">
        <w:rPr>
          <w:rFonts w:ascii="Times New Roman" w:hAnsi="Times New Roman" w:cs="Times New Roman"/>
          <w:i/>
          <w:iCs/>
          <w:sz w:val="24"/>
          <w:szCs w:val="24"/>
        </w:rPr>
        <w:lastRenderedPageBreak/>
        <w:t xml:space="preserve">establecido, el dependiente puede hacer uso de su derecho, notificando fehacientemente él al dador de trabajo la fecha de comienzo del descanso anual, pero está obligado a hacerlo de modo tal que aquéllas concluyan antes del 31 de mayo, pues de lo contrario pierde el derecho a gozarlas, conforme a lo dispuesto por el art. 162 de la LCT En tal sentido, si entre el 1/10/13 y el 30/4/14 no le fueron otorgadas las vacaciones a la actora, y ella pretendía gozar de su licencia por el período trabajado durante el año 2013, en principio debió, antes del vencimiento del plazo legal, efectuar la comunicación al empleador y gozarlas, de modo que concluyeran antes del 31/5/14 (cfr. art. 157 LCT). Por ende, la Sra. Pastore debió haber intimado a la accionada antes del 17/5/2014. Sin embargo, dado que a dicha fecha se le había concedido a la actora la licencia por maternidad, y luego gozó de un período de excedencia (del 27/6/14 al 27/10/14), la intimación efectuada el 5/11/14, luego de vencido el mencionado período de excedencia, luce oportuno, atento a la suspensión de los plazos durante las licencias vinculadas a su situación de salud y maternidad. Ello </w:t>
      </w:r>
      <w:proofErr w:type="gramStart"/>
      <w:r w:rsidRPr="00275C1B">
        <w:rPr>
          <w:rFonts w:ascii="Times New Roman" w:hAnsi="Times New Roman" w:cs="Times New Roman"/>
          <w:i/>
          <w:iCs/>
          <w:sz w:val="24"/>
          <w:szCs w:val="24"/>
        </w:rPr>
        <w:t>es</w:t>
      </w:r>
      <w:proofErr w:type="gramEnd"/>
      <w:r w:rsidRPr="00275C1B">
        <w:rPr>
          <w:rFonts w:ascii="Times New Roman" w:hAnsi="Times New Roman" w:cs="Times New Roman"/>
          <w:i/>
          <w:iCs/>
          <w:sz w:val="24"/>
          <w:szCs w:val="24"/>
        </w:rPr>
        <w:t xml:space="preserve"> así pues, como se ha expresado, si las vacaciones coinciden con el plazo de excedencia, ambos términos deben concederse en forma correlativa, </w:t>
      </w:r>
      <w:proofErr w:type="spellStart"/>
      <w:r w:rsidRPr="00275C1B">
        <w:rPr>
          <w:rFonts w:ascii="Times New Roman" w:hAnsi="Times New Roman" w:cs="Times New Roman"/>
          <w:i/>
          <w:iCs/>
          <w:sz w:val="24"/>
          <w:szCs w:val="24"/>
        </w:rPr>
        <w:t>paraevitar</w:t>
      </w:r>
      <w:proofErr w:type="spellEnd"/>
      <w:r w:rsidRPr="00275C1B">
        <w:rPr>
          <w:rFonts w:ascii="Times New Roman" w:hAnsi="Times New Roman" w:cs="Times New Roman"/>
          <w:i/>
          <w:iCs/>
          <w:sz w:val="24"/>
          <w:szCs w:val="24"/>
        </w:rPr>
        <w:t xml:space="preserve"> que se conculquen los derechos provenientes de ambos institutos (cfr. CNAT, Sala I, 28/2/89, “</w:t>
      </w:r>
      <w:proofErr w:type="spellStart"/>
      <w:r w:rsidRPr="00275C1B">
        <w:rPr>
          <w:rFonts w:ascii="Times New Roman" w:hAnsi="Times New Roman" w:cs="Times New Roman"/>
          <w:i/>
          <w:iCs/>
          <w:sz w:val="24"/>
          <w:szCs w:val="24"/>
        </w:rPr>
        <w:t>Sassi</w:t>
      </w:r>
      <w:proofErr w:type="spellEnd"/>
      <w:r w:rsidRPr="00275C1B">
        <w:rPr>
          <w:rFonts w:ascii="Times New Roman" w:hAnsi="Times New Roman" w:cs="Times New Roman"/>
          <w:i/>
          <w:iCs/>
          <w:sz w:val="24"/>
          <w:szCs w:val="24"/>
        </w:rPr>
        <w:t xml:space="preserve">, Susana c/ SADAIC”. En sentido análogo, han señalado Miguel Ángel </w:t>
      </w:r>
      <w:proofErr w:type="spellStart"/>
      <w:r w:rsidRPr="00275C1B">
        <w:rPr>
          <w:rFonts w:ascii="Times New Roman" w:hAnsi="Times New Roman" w:cs="Times New Roman"/>
          <w:i/>
          <w:iCs/>
          <w:sz w:val="24"/>
          <w:szCs w:val="24"/>
        </w:rPr>
        <w:t>Pirolo</w:t>
      </w:r>
      <w:proofErr w:type="spellEnd"/>
      <w:r w:rsidRPr="00275C1B">
        <w:rPr>
          <w:rFonts w:ascii="Times New Roman" w:hAnsi="Times New Roman" w:cs="Times New Roman"/>
          <w:i/>
          <w:iCs/>
          <w:sz w:val="24"/>
          <w:szCs w:val="24"/>
        </w:rPr>
        <w:t xml:space="preserve"> y Cecilia Murray (“Tratado de Derecho del Trabajo” –Mario E. Ackerman, director; Diego M. Tosca, coordinador-, </w:t>
      </w:r>
      <w:proofErr w:type="spellStart"/>
      <w:r w:rsidRPr="00275C1B">
        <w:rPr>
          <w:rFonts w:ascii="Times New Roman" w:hAnsi="Times New Roman" w:cs="Times New Roman"/>
          <w:i/>
          <w:iCs/>
          <w:sz w:val="24"/>
          <w:szCs w:val="24"/>
        </w:rPr>
        <w:t>Rubinzal-Culzoni</w:t>
      </w:r>
      <w:proofErr w:type="spellEnd"/>
      <w:r w:rsidRPr="00275C1B">
        <w:rPr>
          <w:rFonts w:ascii="Times New Roman" w:hAnsi="Times New Roman" w:cs="Times New Roman"/>
          <w:i/>
          <w:iCs/>
          <w:sz w:val="24"/>
          <w:szCs w:val="24"/>
        </w:rPr>
        <w:t xml:space="preserve">, Santa Fe, 2005, t. III, pág. 712 y ss.) que cuando el trabajador “se encuentra imposibilitado de concurrir a sus tareas –como consecuencia de una enfermedad o accidente (sean de carácter laboral o no)- también lo estará para gozar de sus vacaciones, por lo cual, el otorgamiento de éstas debe quedar suspendido hasta el restablecimiento del dependiente. En cualquiera de estos casos, una vez cesado el impedimento, el trabajador puede llegar a tener derecho a gozar de las vacaciones fuera del lapso previsto en la ley, sólo cuando la circunstancia impeditiva haya tenido origen en un hecho </w:t>
      </w:r>
      <w:proofErr w:type="spellStart"/>
      <w:r w:rsidRPr="00275C1B">
        <w:rPr>
          <w:rFonts w:ascii="Times New Roman" w:hAnsi="Times New Roman" w:cs="Times New Roman"/>
          <w:i/>
          <w:iCs/>
          <w:sz w:val="24"/>
          <w:szCs w:val="24"/>
        </w:rPr>
        <w:t>sujetiva</w:t>
      </w:r>
      <w:proofErr w:type="spellEnd"/>
      <w:r w:rsidRPr="00275C1B">
        <w:rPr>
          <w:rFonts w:ascii="Times New Roman" w:hAnsi="Times New Roman" w:cs="Times New Roman"/>
          <w:i/>
          <w:iCs/>
          <w:sz w:val="24"/>
          <w:szCs w:val="24"/>
        </w:rPr>
        <w:t xml:space="preserve"> u objetivamente imputable al empleador, o bien, cuando así lo hubiesen convenido las partes, ante la situación </w:t>
      </w:r>
      <w:proofErr w:type="spellStart"/>
      <w:r w:rsidRPr="00275C1B">
        <w:rPr>
          <w:rFonts w:ascii="Times New Roman" w:hAnsi="Times New Roman" w:cs="Times New Roman"/>
          <w:i/>
          <w:iCs/>
          <w:sz w:val="24"/>
          <w:szCs w:val="24"/>
        </w:rPr>
        <w:t>exepcional</w:t>
      </w:r>
      <w:proofErr w:type="spellEnd"/>
      <w:r w:rsidRPr="00275C1B">
        <w:rPr>
          <w:rFonts w:ascii="Times New Roman" w:hAnsi="Times New Roman" w:cs="Times New Roman"/>
          <w:i/>
          <w:iCs/>
          <w:sz w:val="24"/>
          <w:szCs w:val="24"/>
        </w:rPr>
        <w:t xml:space="preserve"> que deriva de los hechos que le impidieron usufructuarlas en término (art. 7º, LCT); doctrina aplicable al caso, pues la imposibilidad de goce del descanso anual por parte de la trabajadora resulta imputable al empleador, al no haberle concedido las vacaciones en el período legalmente previsto para ello. Es decir que, en el presente caso, a la fecha de vencimiento del plazo de excedencia correspondía el goce de las vacaciones fuera del período establecido por el art. 154 de la LCT, pues no se debe afectar el derecho de la trabajadora a gozar íntegramente de ambos institutos, ya que se imponía el otorgamiento de las vacaciones fuera del plazo legal, debido a que el impedimento resultó imputable al empleador, quien no otorgó la licencia anual a la actora en el lapso previsto en la norma vigente (art. 154 LCT).” </w:t>
      </w:r>
    </w:p>
    <w:p w14:paraId="16DCD891" w14:textId="77777777" w:rsidR="00275C1B" w:rsidRPr="00275C1B" w:rsidRDefault="00275C1B" w:rsidP="00275C1B">
      <w:pPr>
        <w:jc w:val="both"/>
        <w:rPr>
          <w:rFonts w:ascii="Times New Roman" w:hAnsi="Times New Roman" w:cs="Times New Roman"/>
          <w:b/>
          <w:bCs/>
          <w:sz w:val="24"/>
          <w:szCs w:val="24"/>
          <w:u w:val="single"/>
        </w:rPr>
      </w:pPr>
      <w:r w:rsidRPr="00275C1B">
        <w:rPr>
          <w:rFonts w:ascii="Times New Roman" w:hAnsi="Times New Roman" w:cs="Times New Roman"/>
          <w:b/>
          <w:bCs/>
          <w:sz w:val="24"/>
          <w:szCs w:val="24"/>
          <w:u w:val="single"/>
        </w:rPr>
        <w:t>CÁMARA NACIONAL DE APELACIONES DEL TRABAJO - SALA IV: "PASTORE, GABRIELA CAROLINA c/ CONSULTORA MARCO S.A Y OTRO s/DESPIDO", causa CNT 083125/2015/CA001, 30/05/2021</w:t>
      </w:r>
    </w:p>
    <w:p w14:paraId="21785BB1" w14:textId="77777777" w:rsidR="00275C1B" w:rsidRPr="00275C1B" w:rsidRDefault="00275C1B" w:rsidP="00BC68AE">
      <w:pPr>
        <w:jc w:val="both"/>
        <w:rPr>
          <w:rFonts w:ascii="Times New Roman" w:hAnsi="Times New Roman" w:cs="Times New Roman"/>
          <w:sz w:val="24"/>
          <w:szCs w:val="24"/>
          <w:u w:val="single"/>
        </w:rPr>
      </w:pPr>
    </w:p>
    <w:sectPr w:rsidR="00275C1B" w:rsidRPr="00275C1B" w:rsidSect="0019416B">
      <w:footerReference w:type="default" r:id="rId7"/>
      <w:pgSz w:w="11906" w:h="16838"/>
      <w:pgMar w:top="1135"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F1D27" w14:textId="77777777" w:rsidR="0019416B" w:rsidRDefault="0019416B" w:rsidP="0019416B">
      <w:pPr>
        <w:spacing w:after="0" w:line="240" w:lineRule="auto"/>
      </w:pPr>
      <w:r>
        <w:separator/>
      </w:r>
    </w:p>
  </w:endnote>
  <w:endnote w:type="continuationSeparator" w:id="0">
    <w:p w14:paraId="4A9CB6FE" w14:textId="77777777" w:rsidR="0019416B" w:rsidRDefault="0019416B" w:rsidP="00194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110152"/>
      <w:docPartObj>
        <w:docPartGallery w:val="Page Numbers (Bottom of Page)"/>
        <w:docPartUnique/>
      </w:docPartObj>
    </w:sdtPr>
    <w:sdtContent>
      <w:p w14:paraId="78922136" w14:textId="6148D211" w:rsidR="0019416B" w:rsidRDefault="0019416B">
        <w:pPr>
          <w:pStyle w:val="Piedepgina"/>
          <w:jc w:val="center"/>
        </w:pPr>
        <w:r>
          <w:fldChar w:fldCharType="begin"/>
        </w:r>
        <w:r>
          <w:instrText>PAGE   \* MERGEFORMAT</w:instrText>
        </w:r>
        <w:r>
          <w:fldChar w:fldCharType="separate"/>
        </w:r>
        <w:r>
          <w:rPr>
            <w:lang w:val="es-ES"/>
          </w:rPr>
          <w:t>2</w:t>
        </w:r>
        <w:r>
          <w:fldChar w:fldCharType="end"/>
        </w:r>
      </w:p>
    </w:sdtContent>
  </w:sdt>
  <w:p w14:paraId="51F0420A" w14:textId="77777777" w:rsidR="0019416B" w:rsidRDefault="001941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5A9A2" w14:textId="77777777" w:rsidR="0019416B" w:rsidRDefault="0019416B" w:rsidP="0019416B">
      <w:pPr>
        <w:spacing w:after="0" w:line="240" w:lineRule="auto"/>
      </w:pPr>
      <w:r>
        <w:separator/>
      </w:r>
    </w:p>
  </w:footnote>
  <w:footnote w:type="continuationSeparator" w:id="0">
    <w:p w14:paraId="134BBABC" w14:textId="77777777" w:rsidR="0019416B" w:rsidRDefault="0019416B" w:rsidP="001941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27E81"/>
    <w:multiLevelType w:val="hybridMultilevel"/>
    <w:tmpl w:val="3FDC4C2A"/>
    <w:lvl w:ilvl="0" w:tplc="4AEE20EC">
      <w:start w:val="1"/>
      <w:numFmt w:val="upperRoman"/>
      <w:lvlText w:val="%1."/>
      <w:lvlJc w:val="left"/>
      <w:pPr>
        <w:ind w:left="862" w:hanging="72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1" w15:restartNumberingAfterBreak="0">
    <w:nsid w:val="3DA11843"/>
    <w:multiLevelType w:val="hybridMultilevel"/>
    <w:tmpl w:val="55A29104"/>
    <w:lvl w:ilvl="0" w:tplc="B060BFF4">
      <w:start w:val="1"/>
      <w:numFmt w:val="lowerLetter"/>
      <w:lvlText w:val="%1."/>
      <w:lvlJc w:val="left"/>
      <w:pPr>
        <w:ind w:left="720" w:hanging="360"/>
      </w:pPr>
      <w:rPr>
        <w:rFonts w:asciiTheme="minorHAnsi" w:eastAsiaTheme="minorHAnsi" w:hAnsiTheme="minorHAnsi" w:cstheme="minorBid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7564D27"/>
    <w:multiLevelType w:val="hybridMultilevel"/>
    <w:tmpl w:val="829AF2F8"/>
    <w:lvl w:ilvl="0" w:tplc="2C0A000F">
      <w:start w:val="1"/>
      <w:numFmt w:val="decimal"/>
      <w:lvlText w:val="%1."/>
      <w:lvlJc w:val="left"/>
      <w:pPr>
        <w:ind w:left="502"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691805DF"/>
    <w:multiLevelType w:val="hybridMultilevel"/>
    <w:tmpl w:val="6CCE75DE"/>
    <w:lvl w:ilvl="0" w:tplc="D4D45C46">
      <w:numFmt w:val="bullet"/>
      <w:lvlText w:val=""/>
      <w:lvlJc w:val="left"/>
      <w:pPr>
        <w:ind w:left="720" w:hanging="360"/>
      </w:pPr>
      <w:rPr>
        <w:rFonts w:ascii="Symbol" w:eastAsia="Aptos" w:hAnsi="Symbol" w:cs="Times New Roman"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4" w15:restartNumberingAfterBreak="0">
    <w:nsid w:val="71006CD3"/>
    <w:multiLevelType w:val="hybridMultilevel"/>
    <w:tmpl w:val="25A6D296"/>
    <w:lvl w:ilvl="0" w:tplc="C9F09DFA">
      <w:start w:val="1"/>
      <w:numFmt w:val="lowerRoman"/>
      <w:lvlText w:val="%1)"/>
      <w:lvlJc w:val="left"/>
      <w:pPr>
        <w:ind w:left="1428" w:hanging="72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5" w15:restartNumberingAfterBreak="0">
    <w:nsid w:val="799E0659"/>
    <w:multiLevelType w:val="multilevel"/>
    <w:tmpl w:val="8764B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26143B"/>
    <w:multiLevelType w:val="hybridMultilevel"/>
    <w:tmpl w:val="875663A6"/>
    <w:lvl w:ilvl="0" w:tplc="A3DA7A62">
      <w:start w:val="2"/>
      <w:numFmt w:val="upperRoman"/>
      <w:lvlText w:val="%1."/>
      <w:lvlJc w:val="left"/>
      <w:pPr>
        <w:ind w:left="862" w:hanging="72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num w:numId="1" w16cid:durableId="1999338232">
    <w:abstractNumId w:val="2"/>
  </w:num>
  <w:num w:numId="2" w16cid:durableId="285552281">
    <w:abstractNumId w:val="1"/>
  </w:num>
  <w:num w:numId="3" w16cid:durableId="635376309">
    <w:abstractNumId w:val="6"/>
  </w:num>
  <w:num w:numId="4" w16cid:durableId="1323243144">
    <w:abstractNumId w:val="0"/>
  </w:num>
  <w:num w:numId="5" w16cid:durableId="1822456854">
    <w:abstractNumId w:val="5"/>
  </w:num>
  <w:num w:numId="6" w16cid:durableId="1711152291">
    <w:abstractNumId w:val="3"/>
  </w:num>
  <w:num w:numId="7" w16cid:durableId="1581719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E0B"/>
    <w:rsid w:val="000E772A"/>
    <w:rsid w:val="00177011"/>
    <w:rsid w:val="0019416B"/>
    <w:rsid w:val="00275C1B"/>
    <w:rsid w:val="00276E0B"/>
    <w:rsid w:val="00374040"/>
    <w:rsid w:val="005E2C83"/>
    <w:rsid w:val="008B72C7"/>
    <w:rsid w:val="00BC68AE"/>
    <w:rsid w:val="00C90106"/>
    <w:rsid w:val="00C91E64"/>
    <w:rsid w:val="00D75CC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7A8A"/>
  <w15:chartTrackingRefBased/>
  <w15:docId w15:val="{8B0680BD-0DA7-476B-AD20-977C2A53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76E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76E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76E0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76E0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76E0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76E0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76E0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76E0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76E0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6E0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76E0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76E0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76E0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76E0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76E0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76E0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76E0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76E0B"/>
    <w:rPr>
      <w:rFonts w:eastAsiaTheme="majorEastAsia" w:cstheme="majorBidi"/>
      <w:color w:val="272727" w:themeColor="text1" w:themeTint="D8"/>
    </w:rPr>
  </w:style>
  <w:style w:type="paragraph" w:styleId="Ttulo">
    <w:name w:val="Title"/>
    <w:basedOn w:val="Normal"/>
    <w:next w:val="Normal"/>
    <w:link w:val="TtuloCar"/>
    <w:uiPriority w:val="10"/>
    <w:qFormat/>
    <w:rsid w:val="00276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76E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76E0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76E0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76E0B"/>
    <w:pPr>
      <w:spacing w:before="160"/>
      <w:jc w:val="center"/>
    </w:pPr>
    <w:rPr>
      <w:i/>
      <w:iCs/>
      <w:color w:val="404040" w:themeColor="text1" w:themeTint="BF"/>
    </w:rPr>
  </w:style>
  <w:style w:type="character" w:customStyle="1" w:styleId="CitaCar">
    <w:name w:val="Cita Car"/>
    <w:basedOn w:val="Fuentedeprrafopredeter"/>
    <w:link w:val="Cita"/>
    <w:uiPriority w:val="29"/>
    <w:rsid w:val="00276E0B"/>
    <w:rPr>
      <w:i/>
      <w:iCs/>
      <w:color w:val="404040" w:themeColor="text1" w:themeTint="BF"/>
    </w:rPr>
  </w:style>
  <w:style w:type="paragraph" w:styleId="Prrafodelista">
    <w:name w:val="List Paragraph"/>
    <w:basedOn w:val="Normal"/>
    <w:uiPriority w:val="34"/>
    <w:qFormat/>
    <w:rsid w:val="00276E0B"/>
    <w:pPr>
      <w:ind w:left="720"/>
      <w:contextualSpacing/>
    </w:pPr>
  </w:style>
  <w:style w:type="character" w:styleId="nfasisintenso">
    <w:name w:val="Intense Emphasis"/>
    <w:basedOn w:val="Fuentedeprrafopredeter"/>
    <w:uiPriority w:val="21"/>
    <w:qFormat/>
    <w:rsid w:val="00276E0B"/>
    <w:rPr>
      <w:i/>
      <w:iCs/>
      <w:color w:val="0F4761" w:themeColor="accent1" w:themeShade="BF"/>
    </w:rPr>
  </w:style>
  <w:style w:type="paragraph" w:styleId="Citadestacada">
    <w:name w:val="Intense Quote"/>
    <w:basedOn w:val="Normal"/>
    <w:next w:val="Normal"/>
    <w:link w:val="CitadestacadaCar"/>
    <w:uiPriority w:val="30"/>
    <w:qFormat/>
    <w:rsid w:val="00276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76E0B"/>
    <w:rPr>
      <w:i/>
      <w:iCs/>
      <w:color w:val="0F4761" w:themeColor="accent1" w:themeShade="BF"/>
    </w:rPr>
  </w:style>
  <w:style w:type="character" w:styleId="Referenciaintensa">
    <w:name w:val="Intense Reference"/>
    <w:basedOn w:val="Fuentedeprrafopredeter"/>
    <w:uiPriority w:val="32"/>
    <w:qFormat/>
    <w:rsid w:val="00276E0B"/>
    <w:rPr>
      <w:b/>
      <w:bCs/>
      <w:smallCaps/>
      <w:color w:val="0F4761" w:themeColor="accent1" w:themeShade="BF"/>
      <w:spacing w:val="5"/>
    </w:rPr>
  </w:style>
  <w:style w:type="paragraph" w:styleId="Textoindependiente">
    <w:name w:val="Body Text"/>
    <w:basedOn w:val="Normal"/>
    <w:link w:val="TextoindependienteCar"/>
    <w:rsid w:val="00BC68AE"/>
    <w:pPr>
      <w:spacing w:before="240" w:after="0" w:line="240" w:lineRule="auto"/>
      <w:jc w:val="both"/>
    </w:pPr>
    <w:rPr>
      <w:rFonts w:ascii="Times New Roman" w:eastAsia="Times New Roman" w:hAnsi="Times New Roman" w:cs="Times New Roman"/>
      <w:kern w:val="0"/>
      <w:sz w:val="24"/>
      <w:szCs w:val="20"/>
      <w:lang w:eastAsia="es-ES"/>
      <w14:ligatures w14:val="none"/>
    </w:rPr>
  </w:style>
  <w:style w:type="character" w:customStyle="1" w:styleId="TextoindependienteCar">
    <w:name w:val="Texto independiente Car"/>
    <w:basedOn w:val="Fuentedeprrafopredeter"/>
    <w:link w:val="Textoindependiente"/>
    <w:rsid w:val="00BC68AE"/>
    <w:rPr>
      <w:rFonts w:ascii="Times New Roman" w:eastAsia="Times New Roman" w:hAnsi="Times New Roman" w:cs="Times New Roman"/>
      <w:kern w:val="0"/>
      <w:sz w:val="24"/>
      <w:szCs w:val="20"/>
      <w:lang w:eastAsia="es-ES"/>
      <w14:ligatures w14:val="none"/>
    </w:rPr>
  </w:style>
  <w:style w:type="paragraph" w:styleId="Encabezado">
    <w:name w:val="header"/>
    <w:basedOn w:val="Normal"/>
    <w:link w:val="EncabezadoCar"/>
    <w:uiPriority w:val="99"/>
    <w:unhideWhenUsed/>
    <w:rsid w:val="0019416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9416B"/>
  </w:style>
  <w:style w:type="paragraph" w:styleId="Piedepgina">
    <w:name w:val="footer"/>
    <w:basedOn w:val="Normal"/>
    <w:link w:val="PiedepginaCar"/>
    <w:uiPriority w:val="99"/>
    <w:unhideWhenUsed/>
    <w:rsid w:val="0019416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4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2836</Words>
  <Characters>14383</Characters>
  <Application>Microsoft Office Word</Application>
  <DocSecurity>4</DocSecurity>
  <Lines>266</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Gino Borrello</dc:creator>
  <cp:keywords/>
  <dc:description/>
  <cp:lastModifiedBy>Rodrigo Sola Torino</cp:lastModifiedBy>
  <cp:revision>2</cp:revision>
  <cp:lastPrinted>2025-11-06T21:02:00Z</cp:lastPrinted>
  <dcterms:created xsi:type="dcterms:W3CDTF">2025-11-06T21:20:00Z</dcterms:created>
  <dcterms:modified xsi:type="dcterms:W3CDTF">2025-11-06T21:20:00Z</dcterms:modified>
</cp:coreProperties>
</file>